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1FE" w:rsidRPr="00FC629F" w:rsidRDefault="00FC629F" w:rsidP="001E1F60">
      <w:pPr>
        <w:jc w:val="both"/>
        <w:rPr>
          <w:b/>
          <w:color w:val="002060"/>
          <w:sz w:val="28"/>
        </w:rPr>
      </w:pPr>
      <w:r w:rsidRPr="00FC629F">
        <w:rPr>
          <w:b/>
          <w:color w:val="002060"/>
          <w:sz w:val="28"/>
        </w:rPr>
        <w:t xml:space="preserve">Lista istotnych zagadnień prawnych zgłoszonych przez banki w skargach kasacyjnych i odrzucona przez Sąd Najwyższy w 2022 r. </w:t>
      </w:r>
    </w:p>
    <w:p w:rsidR="0013135B" w:rsidRDefault="0013135B" w:rsidP="001E1F60">
      <w:pPr>
        <w:pStyle w:val="Nagwek1"/>
      </w:pPr>
      <w:r>
        <w:t>Abuzywność klauzu</w:t>
      </w:r>
      <w:r w:rsidR="001E1F60">
        <w:t>l</w:t>
      </w:r>
      <w:r>
        <w:t xml:space="preserve"> przeliczeniowych</w:t>
      </w:r>
    </w:p>
    <w:p w:rsidR="001E1F60" w:rsidRPr="001E1F60" w:rsidRDefault="008B584C" w:rsidP="001E1F60">
      <w:pPr>
        <w:pStyle w:val="Akapitzlist"/>
        <w:numPr>
          <w:ilvl w:val="0"/>
          <w:numId w:val="28"/>
        </w:numPr>
        <w:ind w:left="426" w:hanging="426"/>
        <w:jc w:val="both"/>
        <w:rPr>
          <w:i/>
          <w:lang w:eastAsia="zh-CN" w:bidi="hi-IN"/>
        </w:rPr>
      </w:pPr>
      <w:r w:rsidRPr="001E1F60">
        <w:rPr>
          <w:i/>
        </w:rPr>
        <w:t>Czy zmiana treści postanowień umowy w drodze aneksu do umowy, eliminująca na mocy woli stron postanowienia, które pierwotnie mogłoby być uznane za niedozwolone, względnie za nieważne, skutkuje tym, iż Sąd oceniając postanowienia umowy winien uwzględnić stan rzeczy aktualny na dzień zamknięcia rozprawy i tym samym aktualną normatywną treść umowy, czy też winien ocenić jedynie pierwotną treść umowy, nie uwzględniają</w:t>
      </w:r>
      <w:r w:rsidR="007B1C7D">
        <w:rPr>
          <w:i/>
        </w:rPr>
        <w:t>c jednocześnie okoliczności, iż </w:t>
      </w:r>
      <w:r w:rsidRPr="001E1F60">
        <w:rPr>
          <w:i/>
        </w:rPr>
        <w:t>strony wykonywały um</w:t>
      </w:r>
      <w:r w:rsidR="001E1F60">
        <w:rPr>
          <w:i/>
        </w:rPr>
        <w:t xml:space="preserve">owę w oparciu o jej pierwotną </w:t>
      </w:r>
      <w:r w:rsidRPr="001E1F60">
        <w:rPr>
          <w:i/>
        </w:rPr>
        <w:t>treść jedynie przez ograniczony czas obowiązywania kwestionowanych postanowień, a także, że zawarcie przez strony aneksu do umowy stanowiło wyraz ukształtowania sytuacji powodów w sposób korzystny ekonomicznie dla nich z uwzględnieniem zmieniających się okoliczności społeczno - gospodarczych i potwierdzało aktualność zamiaru gospodarczego kredytobiorców i wolę dalszej realizacji celu umowy.</w:t>
      </w:r>
    </w:p>
    <w:p w:rsidR="008B584C" w:rsidRDefault="008B584C" w:rsidP="001E1F60">
      <w:pPr>
        <w:pStyle w:val="Akapitzlist"/>
        <w:ind w:left="426"/>
        <w:jc w:val="both"/>
        <w:rPr>
          <w:lang w:eastAsia="zh-CN" w:bidi="hi-IN"/>
        </w:rPr>
      </w:pPr>
      <w:r>
        <w:br/>
      </w:r>
      <w:r>
        <w:t>Sygn. akt I CSK 277/22 POSTANO</w:t>
      </w:r>
      <w:r w:rsidR="001E1F60">
        <w:t>WIENIE Dnia 27 stycznia 2022 r.</w:t>
      </w:r>
    </w:p>
    <w:p w:rsidR="008B584C" w:rsidRDefault="008B584C" w:rsidP="001E1F60">
      <w:pPr>
        <w:pStyle w:val="Akapitzlist"/>
        <w:ind w:left="814"/>
        <w:jc w:val="both"/>
        <w:rPr>
          <w:lang w:eastAsia="zh-CN" w:bidi="hi-IN"/>
        </w:rPr>
      </w:pPr>
    </w:p>
    <w:p w:rsidR="008B584C" w:rsidRPr="001E1F60" w:rsidRDefault="008B584C" w:rsidP="001E1F60">
      <w:pPr>
        <w:pStyle w:val="Akapitzlist"/>
        <w:numPr>
          <w:ilvl w:val="0"/>
          <w:numId w:val="28"/>
        </w:numPr>
        <w:ind w:left="426" w:hanging="426"/>
        <w:jc w:val="both"/>
        <w:rPr>
          <w:i/>
          <w:lang w:eastAsia="zh-CN" w:bidi="hi-IN"/>
        </w:rPr>
      </w:pPr>
      <w:r w:rsidRPr="001E1F60">
        <w:rPr>
          <w:i/>
        </w:rPr>
        <w:t>Czy ocena sytuacji konsumenta, w jakiej znalazłby się on, gdyby w umowie nie zawarto kwestionowanego postanowienia umownego, dokonywana w ramach badania przesłanki rażącego naruszenia interesów konsumenta (art. 3851 § 1 k.c., art. 3852 § k.c.), może zostać ustalona wyłącznie na podstawie treści pozostałych postanowień umownych z wyłączeniem postanowienia kwestionowanego, czy powinna być dokonywana także z uwzględnieniem otoczenia społecznogospodarczego z chwili zawarcia umowy, spec</w:t>
      </w:r>
      <w:r w:rsidR="001E1F60">
        <w:rPr>
          <w:i/>
        </w:rPr>
        <w:t>yfiki rynku usług finansowych i </w:t>
      </w:r>
      <w:r w:rsidRPr="001E1F60">
        <w:rPr>
          <w:i/>
        </w:rPr>
        <w:t>zawieranych w zakresie tych usług umów na rynku, a także czy badanie wystąpienia przesłanki „rażącego naruszenia interesów konsumenta” może ograniczać się do zbadania postanowień kwestionowanej umowy oraz ustalenia na tej podstawie dysproporcji praw i obowiązków wynikających z umowy na niekorzyść konsumenta, czy też racz</w:t>
      </w:r>
      <w:r w:rsidR="001E1F60">
        <w:rPr>
          <w:i/>
        </w:rPr>
        <w:t>ej winno uwzględniać wytyczne i </w:t>
      </w:r>
      <w:r w:rsidRPr="001E1F60">
        <w:rPr>
          <w:i/>
        </w:rPr>
        <w:t>wskazówki Trybunału Sprawiedliwości Unii Europejskiej w zakresie ustalania znaczącej nierównowagi praw i obowiązków stron, stanowiącej odpowiednik polskiego kryterium rażącego naruszenia interesu konsumenta, w zakresie w jakim Trybunał wskazuje na konieczność porównania stosowanych przez przedsiębiorcę metod ustalania wartości miernika waloryzacji znajdującego zastosowanie do umowy będącej przedmiotem sporu, ze zwykle stosowanymi metodami ustalania wartości tych mierników, jak również czy powinno uwzględniać porównanie rzeczywistej wartości mierników stosowanych przez przedsiębiorcę, z wysokością mierników stosowanych na rynku, w chwili zawarcia umowy będącej przedmiotem postępowania?</w:t>
      </w:r>
    </w:p>
    <w:p w:rsidR="008B584C" w:rsidRDefault="008B584C" w:rsidP="001E1F60">
      <w:pPr>
        <w:pStyle w:val="Akapitzlist"/>
        <w:ind w:left="814" w:hanging="388"/>
        <w:jc w:val="both"/>
      </w:pPr>
      <w:r>
        <w:lastRenderedPageBreak/>
        <w:t>Sygn. akt I CSK 277/22 POSTANO</w:t>
      </w:r>
      <w:r w:rsidR="001E1F60">
        <w:t>WIENIE Dnia 27 stycznia 2022 r.</w:t>
      </w:r>
    </w:p>
    <w:p w:rsidR="001E1F60" w:rsidRDefault="001E1F60" w:rsidP="001E1F60">
      <w:pPr>
        <w:pStyle w:val="Akapitzlist"/>
        <w:ind w:left="814" w:hanging="388"/>
        <w:jc w:val="both"/>
        <w:rPr>
          <w:lang w:eastAsia="zh-CN" w:bidi="hi-IN"/>
        </w:rPr>
      </w:pPr>
    </w:p>
    <w:p w:rsidR="008B584C" w:rsidRDefault="008B584C" w:rsidP="001E1F60">
      <w:pPr>
        <w:pStyle w:val="Akapitzlist"/>
        <w:numPr>
          <w:ilvl w:val="0"/>
          <w:numId w:val="28"/>
        </w:numPr>
        <w:ind w:left="426" w:hanging="426"/>
        <w:jc w:val="both"/>
        <w:rPr>
          <w:i/>
          <w:lang w:eastAsia="zh-CN" w:bidi="hi-IN"/>
        </w:rPr>
      </w:pPr>
      <w:r w:rsidRPr="001E1F60">
        <w:rPr>
          <w:i/>
        </w:rPr>
        <w:t>Czy w świetle art. 221 k.c. statuującego definicję konsumenta oraz art. 3852 k.c. który nakazuje dokonać oceny zgodności postanowienia umowy z dobrymi obyczajami, uwzględniając m.in. okoliczności zawarcia umowy, Sąd dokonując oceny postanowień umowy przez pryzmat art. 3851 k.c. winien uwzględnić wypracowany w orzecznictwie TSUE i Sądu Najwyższego wzorzec „przeciętnego konsumenta”, a także uwzględnić przymioty osobiste prezentowane przez powodów - takie jak wykształcenie oraz doświadczenie zawodowe i życiowe?</w:t>
      </w:r>
    </w:p>
    <w:p w:rsidR="001E1F60" w:rsidRPr="001E1F60" w:rsidRDefault="001E1F60" w:rsidP="001E1F60">
      <w:pPr>
        <w:pStyle w:val="Akapitzlist"/>
        <w:ind w:left="426"/>
        <w:jc w:val="both"/>
        <w:rPr>
          <w:i/>
          <w:lang w:eastAsia="zh-CN" w:bidi="hi-IN"/>
        </w:rPr>
      </w:pPr>
    </w:p>
    <w:p w:rsidR="008B584C" w:rsidRDefault="008B584C" w:rsidP="001E1F60">
      <w:pPr>
        <w:pStyle w:val="Akapitzlist"/>
        <w:ind w:left="814" w:hanging="388"/>
        <w:jc w:val="both"/>
      </w:pPr>
      <w:r>
        <w:t xml:space="preserve">Sygn. akt I CSK 277/22 POSTANOWIENIE Dnia 27 stycznia 2022 r. </w:t>
      </w:r>
    </w:p>
    <w:p w:rsidR="001E1F60" w:rsidRDefault="001E1F60" w:rsidP="001E1F60">
      <w:pPr>
        <w:pStyle w:val="Akapitzlist"/>
        <w:ind w:left="814" w:hanging="388"/>
        <w:jc w:val="both"/>
        <w:rPr>
          <w:lang w:eastAsia="zh-CN" w:bidi="hi-IN"/>
        </w:rPr>
      </w:pPr>
    </w:p>
    <w:p w:rsidR="001E1F60" w:rsidRPr="001E1F60" w:rsidRDefault="0096390C" w:rsidP="001E1F60">
      <w:pPr>
        <w:pStyle w:val="Akapitzlist"/>
        <w:numPr>
          <w:ilvl w:val="0"/>
          <w:numId w:val="28"/>
        </w:numPr>
        <w:ind w:left="426" w:hanging="426"/>
        <w:jc w:val="both"/>
        <w:rPr>
          <w:i/>
          <w:lang w:eastAsia="zh-CN" w:bidi="hi-IN"/>
        </w:rPr>
      </w:pPr>
      <w:r w:rsidRPr="001E1F60">
        <w:rPr>
          <w:i/>
        </w:rPr>
        <w:t>Jaki moment pozostaje miarodajny dla oceny skutków abuzywności, w tym możliwości dalszego wykonywania umowy kredytu, na gruncie wykładni</w:t>
      </w:r>
      <w:r w:rsidR="001E1F60">
        <w:rPr>
          <w:i/>
        </w:rPr>
        <w:t xml:space="preserve"> </w:t>
      </w:r>
      <w:r w:rsidRPr="001E1F60">
        <w:rPr>
          <w:i/>
        </w:rPr>
        <w:t>przepisu art. 3851 § 1 i § 2 k.c. oraz art. 3852 k.c. dokonywanej w zgodzie z art. 6 ust. 1 dyrektywy 93/13? Czy skutki abuzywności, a tym samym możliwość dalszego obowiązywania i wykonywania umowy w razie wyeliminowania z jej treści postanowień o charakterze niedozwolonym w rozumieniu art. 3851 § 1 k.c. należy ocenić na moment zaistnienia sporu, wyrokowania czy też na moment zawarcia umowy?</w:t>
      </w:r>
    </w:p>
    <w:p w:rsidR="0096390C" w:rsidRDefault="0096390C" w:rsidP="001E1F60">
      <w:pPr>
        <w:pStyle w:val="Akapitzlist"/>
        <w:ind w:left="426"/>
        <w:jc w:val="both"/>
      </w:pPr>
      <w:r>
        <w:br/>
      </w:r>
      <w:r>
        <w:t xml:space="preserve">Sygn. akt I CSK 2459/22 POSTANOWIENIE Dnia 25 maja 2022 r. </w:t>
      </w:r>
    </w:p>
    <w:p w:rsidR="001E1F60" w:rsidRDefault="001E1F60" w:rsidP="001E1F60">
      <w:pPr>
        <w:pStyle w:val="Akapitzlist"/>
        <w:ind w:left="426"/>
        <w:jc w:val="both"/>
        <w:rPr>
          <w:lang w:eastAsia="zh-CN" w:bidi="hi-IN"/>
        </w:rPr>
      </w:pPr>
    </w:p>
    <w:p w:rsidR="001E1F60" w:rsidRPr="001E1F60" w:rsidRDefault="004C778A" w:rsidP="001E1F60">
      <w:pPr>
        <w:pStyle w:val="Akapitzlist"/>
        <w:numPr>
          <w:ilvl w:val="0"/>
          <w:numId w:val="28"/>
        </w:numPr>
        <w:jc w:val="both"/>
        <w:rPr>
          <w:i/>
          <w:lang w:eastAsia="zh-CN" w:bidi="hi-IN"/>
        </w:rPr>
      </w:pPr>
      <w:r w:rsidRPr="001E1F60">
        <w:rPr>
          <w:i/>
          <w:lang w:eastAsia="zh-CN" w:bidi="hi-IN"/>
        </w:rPr>
        <w:t>Czy w toku (1) kontroli incydentalnej abuzywności postanowień umowy, pod kątem ich jednoznaczności, zgodności z dobrymi obyczajami oraz występowania rażącego naruszenia interesu konsumenta, jak również przy (2) ocenie ewen</w:t>
      </w:r>
      <w:r w:rsidR="001E1F60" w:rsidRPr="001E1F60">
        <w:rPr>
          <w:i/>
          <w:lang w:eastAsia="zh-CN" w:bidi="hi-IN"/>
        </w:rPr>
        <w:t>tualnych skutków abuzywności, w </w:t>
      </w:r>
      <w:r w:rsidRPr="001E1F60">
        <w:rPr>
          <w:i/>
          <w:lang w:eastAsia="zh-CN" w:bidi="hi-IN"/>
        </w:rPr>
        <w:t>kontekście zasad proporcjonalności, równości i pewności prawa, wynikających z Konstytucji oraz celami Dyrektywy 93/13/EWG w sprawie nieuczciwych warunków w umowach  konsumenckich i polskich przepisów implementujących Dyrektywę 93/13, oraz (3) ocenie nieważności całej Umowy lub nieważności umownych postanowień waloryzacyjnych - Sąd ma obowiązek brania pod uwagę indywidualnych okoliczności dotyczących danego stosunku prawnego, w szczególności:</w:t>
      </w:r>
    </w:p>
    <w:p w:rsidR="001E1F60" w:rsidRPr="001E1F60" w:rsidRDefault="001E1F60" w:rsidP="001E1F60">
      <w:pPr>
        <w:ind w:left="851"/>
        <w:jc w:val="both"/>
        <w:rPr>
          <w:i/>
          <w:lang w:eastAsia="zh-CN" w:bidi="hi-IN"/>
        </w:rPr>
      </w:pPr>
      <w:r w:rsidRPr="001E1F60">
        <w:rPr>
          <w:i/>
          <w:lang w:eastAsia="zh-CN" w:bidi="hi-IN"/>
        </w:rPr>
        <w:t xml:space="preserve">1. </w:t>
      </w:r>
      <w:r w:rsidR="004C778A" w:rsidRPr="001E1F60">
        <w:rPr>
          <w:i/>
          <w:lang w:eastAsia="zh-CN" w:bidi="hi-IN"/>
        </w:rPr>
        <w:t>wiedzy i doświadczenia kredytobiorcy na dzień za</w:t>
      </w:r>
      <w:r w:rsidRPr="001E1F60">
        <w:rPr>
          <w:i/>
          <w:lang w:eastAsia="zh-CN" w:bidi="hi-IN"/>
        </w:rPr>
        <w:t>warcia umowy oraz świadomości w </w:t>
      </w:r>
      <w:r w:rsidR="004C778A" w:rsidRPr="001E1F60">
        <w:rPr>
          <w:i/>
          <w:lang w:eastAsia="zh-CN" w:bidi="hi-IN"/>
        </w:rPr>
        <w:t xml:space="preserve">zakresie możliwych ryzyk związanych z zawieraną umową, w tym również informacji przekazanych na ten temat przez przedsiębiorcękredytodawcę, </w:t>
      </w:r>
    </w:p>
    <w:p w:rsidR="001E1F60" w:rsidRPr="001E1F60" w:rsidRDefault="004C778A" w:rsidP="001E1F60">
      <w:pPr>
        <w:pStyle w:val="Akapitzlist"/>
        <w:ind w:left="851"/>
        <w:jc w:val="both"/>
        <w:rPr>
          <w:i/>
          <w:lang w:eastAsia="zh-CN" w:bidi="hi-IN"/>
        </w:rPr>
      </w:pPr>
      <w:r w:rsidRPr="001E1F60">
        <w:rPr>
          <w:i/>
          <w:lang w:eastAsia="zh-CN" w:bidi="hi-IN"/>
        </w:rPr>
        <w:t>2. faktycznej alternatywy dla kredytobiorcy na dzień zawarcia umowy, gdyby chciał zawrzeć umowę bez kwestionowanych postanowień i całościowego wpływu, jaki ich wprowadzenie do umowy miało na interes k</w:t>
      </w:r>
      <w:r w:rsidR="001E1F60" w:rsidRPr="001E1F60">
        <w:rPr>
          <w:i/>
          <w:lang w:eastAsia="zh-CN" w:bidi="hi-IN"/>
        </w:rPr>
        <w:t>onsumenta?</w:t>
      </w:r>
    </w:p>
    <w:p w:rsidR="001E1F60" w:rsidRPr="001E1F60" w:rsidRDefault="004C778A" w:rsidP="001E1F60">
      <w:pPr>
        <w:pStyle w:val="Akapitzlist"/>
        <w:ind w:left="851"/>
        <w:jc w:val="both"/>
        <w:rPr>
          <w:i/>
          <w:lang w:eastAsia="zh-CN" w:bidi="hi-IN"/>
        </w:rPr>
      </w:pPr>
      <w:r w:rsidRPr="001E1F60">
        <w:rPr>
          <w:i/>
          <w:lang w:eastAsia="zh-CN" w:bidi="hi-IN"/>
        </w:rPr>
        <w:lastRenderedPageBreak/>
        <w:t>3. wykształcenia prawniczego oraz aktywnego wykon</w:t>
      </w:r>
      <w:r w:rsidR="001E1F60" w:rsidRPr="001E1F60">
        <w:rPr>
          <w:i/>
          <w:lang w:eastAsia="zh-CN" w:bidi="hi-IN"/>
        </w:rPr>
        <w:t>ywania zawodu radcy prawnego, a </w:t>
      </w:r>
      <w:r w:rsidRPr="001E1F60">
        <w:rPr>
          <w:i/>
          <w:lang w:eastAsia="zh-CN" w:bidi="hi-IN"/>
        </w:rPr>
        <w:t>zatem okoliczności mających istotne znaczenie w kontekście możliwości Powoda co do zrozumienia treści zapisów spornej Umowy, a w konsekwencji braku niedoinformowania Powoda w zakresie ryzy</w:t>
      </w:r>
      <w:r w:rsidR="001E1F60" w:rsidRPr="001E1F60">
        <w:rPr>
          <w:i/>
          <w:lang w:eastAsia="zh-CN" w:bidi="hi-IN"/>
        </w:rPr>
        <w:t>k związanych z zawieraną Umową,</w:t>
      </w:r>
    </w:p>
    <w:p w:rsidR="001E1F60" w:rsidRPr="001E1F60" w:rsidRDefault="004C778A" w:rsidP="001E1F60">
      <w:pPr>
        <w:pStyle w:val="Akapitzlist"/>
        <w:ind w:left="851"/>
        <w:jc w:val="both"/>
        <w:rPr>
          <w:i/>
          <w:lang w:eastAsia="zh-CN" w:bidi="hi-IN"/>
        </w:rPr>
      </w:pPr>
      <w:r w:rsidRPr="001E1F60">
        <w:rPr>
          <w:i/>
          <w:lang w:eastAsia="zh-CN" w:bidi="hi-IN"/>
        </w:rPr>
        <w:t>4. faktu, że sporna Umowa została zawarta przez Powoda po rozpoczęciu się ogólnoświatowego kryzysu finansowego, który spowodow</w:t>
      </w:r>
      <w:r w:rsidR="00ED7D9B">
        <w:rPr>
          <w:i/>
          <w:lang w:eastAsia="zh-CN" w:bidi="hi-IN"/>
        </w:rPr>
        <w:t>ał istotny wzrost kursu walut i </w:t>
      </w:r>
      <w:r w:rsidRPr="001E1F60">
        <w:rPr>
          <w:i/>
          <w:lang w:eastAsia="zh-CN" w:bidi="hi-IN"/>
        </w:rPr>
        <w:t>wartości rat płaconych przez kredytobiorców, którzy zaciągali kredyty zawierające odniesienie do waluty CHF.”;</w:t>
      </w:r>
    </w:p>
    <w:p w:rsidR="001E1F60" w:rsidRPr="001E1F60" w:rsidRDefault="004C778A" w:rsidP="001E1F60">
      <w:pPr>
        <w:pStyle w:val="Akapitzlist"/>
        <w:ind w:left="851"/>
        <w:jc w:val="both"/>
        <w:rPr>
          <w:i/>
          <w:lang w:eastAsia="zh-CN" w:bidi="hi-IN"/>
        </w:rPr>
      </w:pPr>
      <w:r w:rsidRPr="001E1F60">
        <w:rPr>
          <w:i/>
          <w:lang w:eastAsia="zh-CN" w:bidi="hi-IN"/>
        </w:rPr>
        <w:t xml:space="preserve"> 5. „Czy sankcja nieważności umowy kredytu waloryzowanego kursem waluty obcej, zastosowana przez Sąd w sytuacji, w której stwierdzenie abuzywności dotyczy jedynie klauzuli obejmującej przeliczenie rat kredytu z waluty obcej na PLN, przy utrzymaniu w mocy pozostałych klauzul waloryzacyjnych, w szczególności klauzuli dotyczącej przeliczenia salda kredytu, nie jest zbyt daleko idąca i sprzeczna z prawem, w szczególności sprzeczna z treścią przepisu art. 3581 § 2 k.c., a także z zasadą równości, pewności prawa i zasadą trwałości umów?"; </w:t>
      </w:r>
      <w:r w:rsidRPr="001E1F60">
        <w:rPr>
          <w:i/>
          <w:lang w:eastAsia="zh-CN" w:bidi="hi-IN"/>
        </w:rPr>
        <w:br/>
        <w:t>6. „W jakim zakresie Sądy powinny brać pod uwagę konieczność zachowania równowagi pomiędzy wagą naruszenia i jej potencjalnymi skutkami, a konsekwencjami dla obu stron prz</w:t>
      </w:r>
      <w:r w:rsidR="009F46AF">
        <w:rPr>
          <w:i/>
          <w:lang w:eastAsia="zh-CN" w:bidi="hi-IN"/>
        </w:rPr>
        <w:t>yjętego przez Sąd rozwiązania,</w:t>
      </w:r>
      <w:r w:rsidRPr="001E1F60">
        <w:rPr>
          <w:i/>
          <w:lang w:eastAsia="zh-CN" w:bidi="hi-IN"/>
        </w:rPr>
        <w:t xml:space="preserve"> w szczególności w kontekście zasady równości prawa, proporcjonalności - adekwatności konsekwencji dla stron do rzeczywistych zarzucanych bankowi naruszeń, zgodności z zasadami współżycia społecznego i jakie normy kolizyjne powinien stosować Sąd pomiędzy charakterem represyjnym orzeczenia wobec przedsiębiorcy, a zasadą proporcjonalności ?";</w:t>
      </w:r>
    </w:p>
    <w:p w:rsidR="001E1F60" w:rsidRPr="001E1F60" w:rsidRDefault="004C778A" w:rsidP="001E1F60">
      <w:pPr>
        <w:pStyle w:val="Akapitzlist"/>
        <w:ind w:left="851"/>
        <w:jc w:val="both"/>
        <w:rPr>
          <w:i/>
          <w:lang w:eastAsia="zh-CN" w:bidi="hi-IN"/>
        </w:rPr>
      </w:pPr>
      <w:r w:rsidRPr="001E1F60">
        <w:rPr>
          <w:i/>
          <w:lang w:eastAsia="zh-CN" w:bidi="hi-IN"/>
        </w:rPr>
        <w:t>7. „Jak dotkliwa powinna być represyjna (odstraszająca) funkcja orzeczenia, w sytuacji stwierdzenia w konkretnym przypadku, że:</w:t>
      </w:r>
    </w:p>
    <w:p w:rsidR="001E1F60" w:rsidRPr="001E1F60" w:rsidRDefault="004C778A" w:rsidP="001E1F60">
      <w:pPr>
        <w:pStyle w:val="Akapitzlist"/>
        <w:ind w:left="851"/>
        <w:jc w:val="both"/>
        <w:rPr>
          <w:i/>
          <w:lang w:eastAsia="zh-CN" w:bidi="hi-IN"/>
        </w:rPr>
      </w:pPr>
      <w:r w:rsidRPr="001E1F60">
        <w:rPr>
          <w:i/>
          <w:lang w:eastAsia="zh-CN" w:bidi="hi-IN"/>
        </w:rPr>
        <w:t xml:space="preserve">1. kredytobiorca mógł spłacać raty kredytu bezpośrednio w walucie indeksacji, tj. bez zastosowania kursów pochodzących z Tabeli Kursowej Banku lub </w:t>
      </w:r>
      <w:r w:rsidRPr="001E1F60">
        <w:rPr>
          <w:i/>
          <w:lang w:eastAsia="zh-CN" w:bidi="hi-IN"/>
        </w:rPr>
        <w:br/>
        <w:t>2. analogiczny kredyt pozbawiony ryzyka walutowego (i kwestionowanych klauzul) byłby dla kredytobiorcy finansowo mniej niekorzystny lub porównywalny w porównaniu z kredytem złotowym lub</w:t>
      </w:r>
    </w:p>
    <w:p w:rsidR="001E1F60" w:rsidRPr="001E1F60" w:rsidRDefault="004C778A" w:rsidP="001E1F60">
      <w:pPr>
        <w:pStyle w:val="Akapitzlist"/>
        <w:ind w:left="851"/>
        <w:jc w:val="both"/>
        <w:rPr>
          <w:i/>
          <w:lang w:eastAsia="zh-CN" w:bidi="hi-IN"/>
        </w:rPr>
      </w:pPr>
      <w:r w:rsidRPr="001E1F60">
        <w:rPr>
          <w:i/>
          <w:lang w:eastAsia="zh-CN" w:bidi="hi-IN"/>
        </w:rPr>
        <w:t xml:space="preserve">3. saldo kredytu w CHF w dniu wypłaty kredytu (lub wszystkich jego transz) okazało się niższe niż przykładowej dacie wskazywanej przez Bank (kurs kupna)?"; </w:t>
      </w:r>
      <w:r w:rsidRPr="001E1F60">
        <w:rPr>
          <w:i/>
          <w:lang w:eastAsia="zh-CN" w:bidi="hi-IN"/>
        </w:rPr>
        <w:br/>
        <w:t xml:space="preserve">4. „Czy sposób, w jaki postanowienie umowne było stosowane (wykonywane), już po zawarciu stosunku prawnego, może mieć znaczenie dowodowe, tzn. służyć wykazaniu tezy o braku niedozwolonego charakteru (abuzywności) postanowień waloryzacyjnych według stanu na dzień zawarcia umowy bądź, braku nieważności postanowień waloryzacyjnych lub braku </w:t>
      </w:r>
      <w:r w:rsidRPr="001E1F60">
        <w:rPr>
          <w:i/>
          <w:lang w:eastAsia="zh-CN" w:bidi="hi-IN"/>
        </w:rPr>
        <w:lastRenderedPageBreak/>
        <w:t xml:space="preserve">nieważności Umowy (w szczególności w zakresie naruszenia zasad współżycia społecznego)?"; </w:t>
      </w:r>
      <w:r w:rsidRPr="001E1F60">
        <w:rPr>
          <w:i/>
          <w:lang w:eastAsia="zh-CN" w:bidi="hi-IN"/>
        </w:rPr>
        <w:br/>
        <w:t>5. „Czy określenie oraz „niedozwolone postanowienia umowne" w rozumieniu art. 3851 § 1 k.c. dotyczy określonych przez strony umowy norm postępowania - czy też, przeciwnie, wyodrębnione redakcyjnie fragmenty tekstu umowy?";</w:t>
      </w:r>
    </w:p>
    <w:p w:rsidR="001E1F60" w:rsidRPr="001E1F60" w:rsidRDefault="004C778A" w:rsidP="001E1F60">
      <w:pPr>
        <w:pStyle w:val="Akapitzlist"/>
        <w:ind w:left="851"/>
        <w:jc w:val="both"/>
        <w:rPr>
          <w:i/>
          <w:lang w:eastAsia="zh-CN" w:bidi="hi-IN"/>
        </w:rPr>
      </w:pPr>
      <w:r w:rsidRPr="001E1F60">
        <w:rPr>
          <w:i/>
          <w:lang w:eastAsia="zh-CN" w:bidi="hi-IN"/>
        </w:rPr>
        <w:t xml:space="preserve"> 6. „Czy norma, zawarta w umowie kredytu indeksowanego (waloryzowanego) do kursu waluty obcej, regulująca odesłanie do konkretnego źródła pochodzenia kursu walutowego, stanowi normę regulującą główne świadczenia stron w rozumieniu art. 3851 § 1 k.c. oraz czy norma ta należy do essentialia negotii umowy kredytu?";</w:t>
      </w:r>
    </w:p>
    <w:p w:rsidR="001E1F60" w:rsidRPr="001E1F60" w:rsidRDefault="004C778A" w:rsidP="001E1F60">
      <w:pPr>
        <w:pStyle w:val="Akapitzlist"/>
        <w:ind w:left="851"/>
        <w:jc w:val="both"/>
        <w:rPr>
          <w:i/>
          <w:lang w:eastAsia="zh-CN" w:bidi="hi-IN"/>
        </w:rPr>
      </w:pPr>
      <w:r w:rsidRPr="001E1F60">
        <w:rPr>
          <w:i/>
          <w:lang w:eastAsia="zh-CN" w:bidi="hi-IN"/>
        </w:rPr>
        <w:t xml:space="preserve"> 7. „Czy stwierdzenie przez Sąd niezwiązania konsumenta normą, zawartą w umowie kredytu indeksowanego (waloryzowanego) do kursu waluty obcej, regulującą odesłanie do konkretnego źródła pochodzenia kursu walutowego (kursu kupna i sprzedaży, tzw. klauzula spreadu), skutkuje również niezwiązaniem konsumenta normą, zgodnie z którą wartość wzajemnych świadczeń uzależniona jest od kursu waluty obcej (tzw. klauzula ryzyka) oraz czy niezwiązanie konsumenta klauzulą ryzyka skutkuje upadkiem umowy?"; </w:t>
      </w:r>
      <w:r w:rsidRPr="001E1F60">
        <w:rPr>
          <w:i/>
          <w:lang w:eastAsia="zh-CN" w:bidi="hi-IN"/>
        </w:rPr>
        <w:br/>
        <w:t>8. „Czy w świetle celów art. 3851 k.c. oraz Dyrektywy 93/13, dopuszczalne jest stwierdzenie upadku umowy kredytu, w oparciu o stwierdzenie niedozwolonego charakteru w rozumieniu art. 3851 k.c. (abuzywność) części jej postanowień, dotyczących indeksacji (waloryzacji) kredytu do waluty obcej, jeżeli skutkuje to obiektywnie niekorzystnymi skutkami dla konsumenta, bez względu na wolę konsumenta w tym zakresie?".</w:t>
      </w:r>
    </w:p>
    <w:p w:rsidR="004C778A" w:rsidRDefault="004C778A" w:rsidP="00ED7D9B">
      <w:pPr>
        <w:pStyle w:val="Akapitzlist"/>
        <w:ind w:left="426"/>
        <w:jc w:val="both"/>
      </w:pPr>
      <w:r>
        <w:rPr>
          <w:lang w:eastAsia="zh-CN" w:bidi="hi-IN"/>
        </w:rPr>
        <w:br/>
      </w:r>
      <w:r>
        <w:t xml:space="preserve">Sygn. akt I CSK 2314/22 POSTANOWIENIE Dnia 31 maja 2022 r. </w:t>
      </w:r>
    </w:p>
    <w:p w:rsidR="001E1F60" w:rsidRDefault="001E1F60" w:rsidP="001E1F60">
      <w:pPr>
        <w:pStyle w:val="Akapitzlist"/>
        <w:ind w:left="851"/>
        <w:jc w:val="both"/>
        <w:rPr>
          <w:lang w:eastAsia="zh-CN" w:bidi="hi-IN"/>
        </w:rPr>
      </w:pPr>
    </w:p>
    <w:p w:rsidR="00ED7D9B" w:rsidRPr="00ED7D9B" w:rsidRDefault="005127EF" w:rsidP="00ED7D9B">
      <w:pPr>
        <w:pStyle w:val="Akapitzlist"/>
        <w:numPr>
          <w:ilvl w:val="0"/>
          <w:numId w:val="28"/>
        </w:numPr>
        <w:ind w:left="426" w:hanging="426"/>
        <w:jc w:val="both"/>
        <w:rPr>
          <w:i/>
          <w:lang w:eastAsia="zh-CN" w:bidi="hi-IN"/>
        </w:rPr>
      </w:pPr>
      <w:r w:rsidRPr="00ED7D9B">
        <w:rPr>
          <w:i/>
        </w:rPr>
        <w:t>Czy wykonanie przez bank obowiązku informacyjnego względem konsumenta (o ryzykach związanych z zawarciem umowy o kredyt indeksowany/denominowany do waluty obcej) w sposób zgodny z wiążącą bank na dzień zawarcia umowy z konsumentem rekomendacją Komisji Nadzoru Finansowego (tu: Rekomendacją s(2006)) w zakresie przekazywania klientom jednoznacznych, zrozumiałych i czytelnych informacji, uzasadnia przyjęcie, że konsument nie został w sposób odpowiedni poinformowany o tych ryzykach, a co miałoby uniemożliwić podjęcie racjonalnej d</w:t>
      </w:r>
      <w:r w:rsidR="00ED7D9B" w:rsidRPr="00ED7D9B">
        <w:rPr>
          <w:i/>
        </w:rPr>
        <w:t>ecyzji odnośnie zawarcia umowy?</w:t>
      </w:r>
    </w:p>
    <w:p w:rsidR="005127EF" w:rsidRDefault="005127EF" w:rsidP="00ED7D9B">
      <w:pPr>
        <w:pStyle w:val="Akapitzlist"/>
        <w:ind w:left="426"/>
        <w:jc w:val="both"/>
        <w:rPr>
          <w:lang w:eastAsia="zh-CN" w:bidi="hi-IN"/>
        </w:rPr>
      </w:pPr>
      <w:r>
        <w:br/>
      </w:r>
      <w:r>
        <w:t xml:space="preserve">Sygn. akt I CSK 2722/22 POSTANOWIENIE Dnia 23 czerwca 2022 r. </w:t>
      </w:r>
    </w:p>
    <w:p w:rsidR="005127EF" w:rsidRDefault="005127EF" w:rsidP="001E1F60">
      <w:pPr>
        <w:pStyle w:val="Akapitzlist"/>
        <w:jc w:val="both"/>
        <w:rPr>
          <w:lang w:eastAsia="zh-CN" w:bidi="hi-IN"/>
        </w:rPr>
      </w:pPr>
    </w:p>
    <w:p w:rsidR="0009738E" w:rsidRPr="00ED7D9B" w:rsidRDefault="00ED7D9B" w:rsidP="00ED7D9B">
      <w:pPr>
        <w:pStyle w:val="Akapitzlist"/>
        <w:numPr>
          <w:ilvl w:val="0"/>
          <w:numId w:val="28"/>
        </w:numPr>
        <w:ind w:left="426" w:hanging="426"/>
        <w:jc w:val="both"/>
        <w:rPr>
          <w:i/>
          <w:lang w:eastAsia="zh-CN" w:bidi="hi-IN"/>
        </w:rPr>
      </w:pPr>
      <w:r w:rsidRPr="00ED7D9B">
        <w:rPr>
          <w:i/>
        </w:rPr>
        <w:t>Czy może być uznawane za</w:t>
      </w:r>
      <w:r w:rsidR="0009738E" w:rsidRPr="00ED7D9B">
        <w:rPr>
          <w:i/>
        </w:rPr>
        <w:t xml:space="preserve"> postanowienie określające główne świadczenie stron postanowienie umowy kredytu indeksowanego, zgodnie z którym spłata rat kredytu wyrażonych w walucie obcej </w:t>
      </w:r>
      <w:r w:rsidR="0009738E" w:rsidRPr="00ED7D9B">
        <w:rPr>
          <w:i/>
        </w:rPr>
        <w:lastRenderedPageBreak/>
        <w:t>następują w walucie krajowej, w wysokości ustalonej poprzez zastosowanie kursu sprzedaży z Tabeli Banku?</w:t>
      </w:r>
    </w:p>
    <w:p w:rsidR="00ED7D9B" w:rsidRDefault="00ED7D9B" w:rsidP="00ED7D9B">
      <w:pPr>
        <w:pStyle w:val="Akapitzlist"/>
        <w:ind w:left="814"/>
        <w:jc w:val="both"/>
        <w:rPr>
          <w:lang w:eastAsia="zh-CN" w:bidi="hi-IN"/>
        </w:rPr>
      </w:pPr>
    </w:p>
    <w:p w:rsidR="0009738E" w:rsidRDefault="0009738E" w:rsidP="00ED7D9B">
      <w:pPr>
        <w:pStyle w:val="Akapitzlist"/>
        <w:ind w:hanging="294"/>
        <w:jc w:val="both"/>
      </w:pPr>
      <w:r>
        <w:t xml:space="preserve">Sygn. akt I CSK 3299/22 POSTANOWIENIE Dnia 6 lipca 2022 r. </w:t>
      </w:r>
    </w:p>
    <w:p w:rsidR="0009738E" w:rsidRDefault="0009738E" w:rsidP="001E1F60">
      <w:pPr>
        <w:pStyle w:val="Akapitzlist"/>
        <w:jc w:val="both"/>
        <w:rPr>
          <w:lang w:eastAsia="zh-CN" w:bidi="hi-IN"/>
        </w:rPr>
      </w:pPr>
    </w:p>
    <w:p w:rsidR="0010632A" w:rsidRPr="00ED7D9B" w:rsidRDefault="00ED7D9B" w:rsidP="00ED7D9B">
      <w:pPr>
        <w:pStyle w:val="Akapitzlist"/>
        <w:numPr>
          <w:ilvl w:val="0"/>
          <w:numId w:val="28"/>
        </w:numPr>
        <w:ind w:left="426" w:hanging="426"/>
        <w:jc w:val="both"/>
        <w:rPr>
          <w:i/>
          <w:lang w:eastAsia="zh-CN" w:bidi="hi-IN"/>
        </w:rPr>
      </w:pPr>
      <w:r>
        <w:rPr>
          <w:i/>
        </w:rPr>
        <w:t>C</w:t>
      </w:r>
      <w:r w:rsidR="0010632A" w:rsidRPr="00ED7D9B">
        <w:rPr>
          <w:i/>
        </w:rPr>
        <w:t>zy ustalenie, że postanowienie umowy odsyłające do tabel kursowych, hipotetycznie pozostawia bankowi możliwość jednostronnego kształtowania kursu</w:t>
      </w:r>
      <w:r>
        <w:rPr>
          <w:i/>
        </w:rPr>
        <w:t xml:space="preserve"> waluty obcej w rozliczeniach z </w:t>
      </w:r>
      <w:r w:rsidR="0010632A" w:rsidRPr="00ED7D9B">
        <w:rPr>
          <w:i/>
        </w:rPr>
        <w:t>kredytobiorcą skutkuje uznaniem takiego postanowienia za nieuczciwe, jeśli w toku procesu kredytobiorca nie wykazał, że bank mógł na podstawie przedmiotowych postanowień stosować kurs odbiegający od rynkowego.</w:t>
      </w:r>
    </w:p>
    <w:p w:rsidR="00ED7D9B" w:rsidRDefault="00ED7D9B" w:rsidP="001E1F60">
      <w:pPr>
        <w:pStyle w:val="Akapitzlist"/>
        <w:jc w:val="both"/>
      </w:pPr>
    </w:p>
    <w:p w:rsidR="0010632A" w:rsidRDefault="0010632A" w:rsidP="00ED7D9B">
      <w:pPr>
        <w:pStyle w:val="Akapitzlist"/>
        <w:ind w:hanging="294"/>
        <w:jc w:val="both"/>
      </w:pPr>
      <w:r>
        <w:t xml:space="preserve">Sygn. akt I CSK 3351/22 POSTANOWIENIE Dnia 15 września 2022 r. </w:t>
      </w:r>
    </w:p>
    <w:p w:rsidR="0010632A" w:rsidRDefault="0010632A" w:rsidP="001E1F60">
      <w:pPr>
        <w:pStyle w:val="Akapitzlist"/>
        <w:jc w:val="both"/>
        <w:rPr>
          <w:lang w:eastAsia="zh-CN" w:bidi="hi-IN"/>
        </w:rPr>
      </w:pPr>
    </w:p>
    <w:p w:rsidR="0013135B" w:rsidRPr="00ED7D9B" w:rsidRDefault="00ED7D9B" w:rsidP="00ED7D9B">
      <w:pPr>
        <w:pStyle w:val="Akapitzlist"/>
        <w:numPr>
          <w:ilvl w:val="0"/>
          <w:numId w:val="28"/>
        </w:numPr>
        <w:ind w:left="426" w:hanging="426"/>
        <w:jc w:val="both"/>
        <w:rPr>
          <w:i/>
          <w:lang w:eastAsia="zh-CN" w:bidi="hi-IN"/>
        </w:rPr>
      </w:pPr>
      <w:r w:rsidRPr="00ED7D9B">
        <w:rPr>
          <w:i/>
        </w:rPr>
        <w:t>C</w:t>
      </w:r>
      <w:r w:rsidR="0013135B" w:rsidRPr="00ED7D9B">
        <w:rPr>
          <w:i/>
        </w:rPr>
        <w:t>zy przy dokonywaniu oceny klauzul ryzyka walutowego, tj. klauzul przewidujących stosowanie kursu kupna do wypłaty kredytu lub kursu sprzedaży do spł</w:t>
      </w:r>
      <w:r w:rsidR="0013135B" w:rsidRPr="00ED7D9B">
        <w:rPr>
          <w:i/>
        </w:rPr>
        <w:t>aty rat kapitałowo-odsetkowych</w:t>
      </w:r>
      <w:r w:rsidR="0013135B" w:rsidRPr="00ED7D9B">
        <w:rPr>
          <w:i/>
        </w:rPr>
        <w:t xml:space="preserve"> wynikających z tabeli kursowej banku, z perspektywy abuzywności, należy uwzględnić, że art. 111 ust. 1 pkt 4 ustawy z dnia 29 sierpnia 1997 r. – Prawo bankowe (t.j. Dz.U. z 2021 r., poz. 2439 ze zm.; dalej: pr. bank.) daje (i dawał w czasie zawierania umowy) bankowi podstawę do ustalania kursów w tabeli i żaden przepis prawa nie przewidywał w dacie zawarcia umowy kredytu obowiązku wskazywania w jej treści sposobu ustalania kursów </w:t>
      </w:r>
      <w:r w:rsidRPr="00ED7D9B">
        <w:rPr>
          <w:i/>
        </w:rPr>
        <w:t>walut, a w konsekwencji umowy o </w:t>
      </w:r>
      <w:r w:rsidR="0013135B" w:rsidRPr="00ED7D9B">
        <w:rPr>
          <w:i/>
        </w:rPr>
        <w:t>kredyt frankowy odzwierciedlały ówcześnie obowiązujący model ustawowy i w tym zakresie powinny być wyłączone spod oceny z perspektywy abuzywności zgodnie z art. 1 ust. 2 dyrektywy Rady 93/13/EWG z dnia 5 kwietnia 1993 r. w sprawie nieuczciwych warunków w umowach konsumenckich (Dz.Urz. UE L nr 95, s. 29; dalej: dyrektywa 93/13)</w:t>
      </w:r>
      <w:r w:rsidR="0013135B" w:rsidRPr="00ED7D9B">
        <w:rPr>
          <w:i/>
        </w:rPr>
        <w:t>?</w:t>
      </w:r>
    </w:p>
    <w:p w:rsidR="00ED7D9B" w:rsidRDefault="00ED7D9B" w:rsidP="001E1F60">
      <w:pPr>
        <w:pStyle w:val="Akapitzlist"/>
        <w:jc w:val="both"/>
      </w:pPr>
    </w:p>
    <w:p w:rsidR="0013135B" w:rsidRDefault="0013135B" w:rsidP="00ED7D9B">
      <w:pPr>
        <w:pStyle w:val="Akapitzlist"/>
        <w:ind w:hanging="294"/>
        <w:jc w:val="both"/>
      </w:pPr>
      <w:r>
        <w:t>Sygn. a</w:t>
      </w:r>
      <w:r>
        <w:t>kt I CSK 4407/22 POSTANOWIENIE z d</w:t>
      </w:r>
      <w:r>
        <w:t xml:space="preserve">nia 21 września 2022 r. </w:t>
      </w:r>
    </w:p>
    <w:p w:rsidR="00EA51E2" w:rsidRDefault="00EA51E2" w:rsidP="001E1F60">
      <w:pPr>
        <w:pStyle w:val="Akapitzlist"/>
        <w:jc w:val="both"/>
      </w:pPr>
    </w:p>
    <w:p w:rsidR="00EA51E2" w:rsidRPr="00ED7D9B" w:rsidRDefault="00EA51E2" w:rsidP="00ED7D9B">
      <w:pPr>
        <w:pStyle w:val="Akapitzlist"/>
        <w:numPr>
          <w:ilvl w:val="0"/>
          <w:numId w:val="28"/>
        </w:numPr>
        <w:ind w:left="426" w:hanging="426"/>
        <w:jc w:val="both"/>
        <w:rPr>
          <w:i/>
          <w:lang w:eastAsia="zh-CN" w:bidi="hi-IN"/>
        </w:rPr>
      </w:pPr>
      <w:r w:rsidRPr="00ED7D9B">
        <w:rPr>
          <w:i/>
        </w:rPr>
        <w:t>Czy art. 385(1] § 1 i 2 k.c. w zw. z art. 4 ust. 1 i art. 5 dyrektywy 93/13 EWG z dnia 5 kwietnia 1993 roku w sprawie nieuczciwych warunków w umowach konsumenckich (Dz. U. UE L 1993.95.29) należy interpretować w ten sposób, że spełnienie wymogu sformułowania treści klauzuli umowy kredytu zawartej między przedsiębiorcą a konsumentem, ustalającej cenę zakupu i sprzedaży waluty obcej, do której kredyt jest ind</w:t>
      </w:r>
      <w:r w:rsidR="00ED7D9B" w:rsidRPr="00ED7D9B">
        <w:rPr>
          <w:i/>
        </w:rPr>
        <w:t>eksowany na podstawie jasnych i </w:t>
      </w:r>
      <w:r w:rsidRPr="00ED7D9B">
        <w:rPr>
          <w:i/>
        </w:rPr>
        <w:t>zrozumiałych kryteriów, tak aby konsument mógł zrozumieć sposób ustalania kursu wym</w:t>
      </w:r>
      <w:r w:rsidR="00ED7D9B">
        <w:rPr>
          <w:i/>
        </w:rPr>
        <w:t>iany waluty obcej stosowanego w </w:t>
      </w:r>
      <w:r w:rsidRPr="00ED7D9B">
        <w:rPr>
          <w:i/>
        </w:rPr>
        <w:t>celu obliczenia kwoty rat kredytu należy badać z</w:t>
      </w:r>
      <w:r w:rsidR="00ED7D9B" w:rsidRPr="00ED7D9B">
        <w:rPr>
          <w:i/>
        </w:rPr>
        <w:t> </w:t>
      </w:r>
      <w:r w:rsidRPr="00ED7D9B">
        <w:rPr>
          <w:i/>
        </w:rPr>
        <w:t>uwzględnieniem wykazania się przez konsumenta przy zawieraniu umowy cechami bycia dostatecznie uważnym i racjonalnym?</w:t>
      </w:r>
    </w:p>
    <w:p w:rsidR="00EA51E2" w:rsidRDefault="00EA51E2" w:rsidP="00ED7D9B">
      <w:pPr>
        <w:pStyle w:val="Akapitzlist"/>
        <w:ind w:hanging="294"/>
        <w:jc w:val="both"/>
      </w:pPr>
      <w:r>
        <w:lastRenderedPageBreak/>
        <w:t xml:space="preserve">Sygn. akt I CSK 2422/22 POSTANOWIENIE Dnia 20 września 2022 r. </w:t>
      </w:r>
    </w:p>
    <w:p w:rsidR="0010632A" w:rsidRDefault="0010632A" w:rsidP="001E1F60">
      <w:pPr>
        <w:pStyle w:val="Akapitzlist"/>
        <w:jc w:val="both"/>
      </w:pPr>
    </w:p>
    <w:p w:rsidR="0010632A" w:rsidRDefault="00ED7D9B" w:rsidP="00ED7D9B">
      <w:pPr>
        <w:pStyle w:val="Akapitzlist"/>
        <w:numPr>
          <w:ilvl w:val="0"/>
          <w:numId w:val="28"/>
        </w:numPr>
        <w:ind w:left="426" w:hanging="426"/>
        <w:jc w:val="both"/>
        <w:rPr>
          <w:i/>
          <w:lang w:eastAsia="zh-CN" w:bidi="hi-IN"/>
        </w:rPr>
      </w:pPr>
      <w:r w:rsidRPr="00ED7D9B">
        <w:rPr>
          <w:i/>
          <w:lang w:eastAsia="zh-CN" w:bidi="hi-IN"/>
        </w:rPr>
        <w:t>C</w:t>
      </w:r>
      <w:r w:rsidR="0010632A" w:rsidRPr="00ED7D9B">
        <w:rPr>
          <w:i/>
          <w:lang w:eastAsia="zh-CN" w:bidi="hi-IN"/>
        </w:rPr>
        <w:t>zy w sprawie o ustalenie nieważności umowy kredytu denominowanego w walucie CHF, dla stwierdzenia abuzywności postanowień umownych odsyłających do tabeli kursów banku, tzw. klauzul przeliczeniowych oraz dalszej możliwości trwania umowy kredytu, znaczenie ma fakt, że (i) powód nie wykazał, że bank ustalał kurs CHF w sposób odbiegający od kursu rynkowego, (ii) powód nie wykazał możliwości ustalania przez bank kursu CHF w sposób dowolny, w oderwaniu od mechanizmów rynkowych (iii) bank stosuje te samą tabelę kursową do wszystkich transakcji walutowych, w konsekwencji czego ustalany przez bank kurs wa</w:t>
      </w:r>
      <w:r w:rsidR="007B1C7D">
        <w:rPr>
          <w:i/>
          <w:lang w:eastAsia="zh-CN" w:bidi="hi-IN"/>
        </w:rPr>
        <w:t>luty CHF był kursem rynkowym, a </w:t>
      </w:r>
      <w:r w:rsidR="0010632A" w:rsidRPr="00ED7D9B">
        <w:rPr>
          <w:i/>
          <w:lang w:eastAsia="zh-CN" w:bidi="hi-IN"/>
        </w:rPr>
        <w:t>dowolne kształtowanie wysokości kursu waluty CHF przez bank narażałby go na poniesienie rażącej straty</w:t>
      </w:r>
      <w:r w:rsidRPr="00ED7D9B">
        <w:rPr>
          <w:i/>
          <w:lang w:eastAsia="zh-CN" w:bidi="hi-IN"/>
        </w:rPr>
        <w:t>?</w:t>
      </w:r>
    </w:p>
    <w:p w:rsidR="00ED7D9B" w:rsidRPr="00ED7D9B" w:rsidRDefault="00ED7D9B" w:rsidP="00ED7D9B">
      <w:pPr>
        <w:pStyle w:val="Akapitzlist"/>
        <w:ind w:left="426"/>
        <w:jc w:val="both"/>
        <w:rPr>
          <w:i/>
          <w:lang w:eastAsia="zh-CN" w:bidi="hi-IN"/>
        </w:rPr>
      </w:pPr>
    </w:p>
    <w:p w:rsidR="0010632A" w:rsidRDefault="0010632A" w:rsidP="00ED7D9B">
      <w:pPr>
        <w:ind w:firstLine="426"/>
        <w:jc w:val="both"/>
      </w:pPr>
      <w:r>
        <w:t xml:space="preserve">Sygn. akt I CSK 3351/22 POSTANOWIENIE Dnia 15 września 2022 r. </w:t>
      </w:r>
    </w:p>
    <w:p w:rsidR="00ED7D9B" w:rsidRPr="0013135B" w:rsidRDefault="00ED7D9B" w:rsidP="00ED7D9B">
      <w:pPr>
        <w:ind w:firstLine="426"/>
        <w:jc w:val="both"/>
        <w:rPr>
          <w:lang w:eastAsia="zh-CN" w:bidi="hi-IN"/>
        </w:rPr>
      </w:pPr>
    </w:p>
    <w:p w:rsidR="00421645" w:rsidRDefault="00421645" w:rsidP="001E1F60">
      <w:pPr>
        <w:pStyle w:val="Nagwek1"/>
      </w:pPr>
      <w:r>
        <w:t>Uzupełnienie klauzul abuzywnych przepisem dyspozytywnym</w:t>
      </w:r>
    </w:p>
    <w:p w:rsidR="009F46AF" w:rsidRPr="009F46AF" w:rsidRDefault="009F46AF" w:rsidP="009F46AF">
      <w:pPr>
        <w:rPr>
          <w:lang w:eastAsia="zh-CN" w:bidi="hi-IN"/>
        </w:rPr>
      </w:pPr>
    </w:p>
    <w:p w:rsidR="008B584C" w:rsidRPr="00ED7D9B" w:rsidRDefault="008B584C" w:rsidP="00ED7D9B">
      <w:pPr>
        <w:pStyle w:val="Akapitzlist"/>
        <w:numPr>
          <w:ilvl w:val="0"/>
          <w:numId w:val="31"/>
        </w:numPr>
        <w:ind w:left="426" w:hanging="426"/>
        <w:jc w:val="both"/>
        <w:rPr>
          <w:i/>
        </w:rPr>
      </w:pPr>
      <w:r w:rsidRPr="00ED7D9B">
        <w:rPr>
          <w:i/>
        </w:rPr>
        <w:t>Czy uzasadniona jest wykładnia przepisu art. 3851 § 2 k.c. w związku z art. 6 ust. 1 Dyrektywy 93/13/EWG w zw. z art. 358 § 2 k.c. przy umowie kredytu waloryzowanego kursem waluty obcej, zawartej pod rządami obowiązującego art. 358 § 2 k.c., polegająca na przyjęciu, iż uznanie za niedozwolone postanowień umowy kredytu waloryzowanego kursem waluty CHF, odsyłających do tabeli kursowej banku skutkuje przyjęciem, że umowę jako niewykonalną należy uznać za nieważną, czy też należy przyjąć, że wobec obowiązywania od chwili zawarcia umowy przepisu dyspozytywnego prawa krajowego, tj. art. 358 § 2 k.c., umowa kredytu po wyłączeniu stosowania nieuczciwych postanowień umownych odnoszących się do tabeli kursowej banku, może nadal obowiązywać w świetl</w:t>
      </w:r>
      <w:r w:rsidR="00ED7D9B" w:rsidRPr="00ED7D9B">
        <w:rPr>
          <w:i/>
        </w:rPr>
        <w:t>e krajowego porządku prawnego z </w:t>
      </w:r>
      <w:r w:rsidRPr="00ED7D9B">
        <w:rPr>
          <w:i/>
        </w:rPr>
        <w:t>zasto</w:t>
      </w:r>
      <w:r w:rsidR="007B1C7D">
        <w:rPr>
          <w:i/>
        </w:rPr>
        <w:t>sowaniem miernika waloryzacji w </w:t>
      </w:r>
      <w:r w:rsidRPr="00ED7D9B">
        <w:rPr>
          <w:i/>
        </w:rPr>
        <w:t>postaci średniego kursu NBP, przy respektowaniu podstawowej zasady związania stron um</w:t>
      </w:r>
      <w:r w:rsidR="007B1C7D">
        <w:rPr>
          <w:i/>
        </w:rPr>
        <w:t>ową w </w:t>
      </w:r>
      <w:r w:rsidRPr="00ED7D9B">
        <w:rPr>
          <w:i/>
        </w:rPr>
        <w:t>pozostałym zakresie?</w:t>
      </w:r>
    </w:p>
    <w:p w:rsidR="00ED7D9B" w:rsidRDefault="00ED7D9B" w:rsidP="001E1F60">
      <w:pPr>
        <w:pStyle w:val="Akapitzlist"/>
        <w:jc w:val="both"/>
      </w:pPr>
    </w:p>
    <w:p w:rsidR="008B584C" w:rsidRDefault="008B584C" w:rsidP="00ED7D9B">
      <w:pPr>
        <w:pStyle w:val="Akapitzlist"/>
        <w:ind w:hanging="294"/>
        <w:jc w:val="both"/>
      </w:pPr>
      <w:r>
        <w:t xml:space="preserve">Sygn. akt I CSK 277/22 POSTANOWIENIE Dnia 27 stycznia 2022 r. </w:t>
      </w:r>
    </w:p>
    <w:p w:rsidR="008B584C" w:rsidRDefault="008B584C" w:rsidP="001E1F60">
      <w:pPr>
        <w:pStyle w:val="Akapitzlist"/>
        <w:jc w:val="both"/>
      </w:pPr>
    </w:p>
    <w:p w:rsidR="00EA51E2" w:rsidRPr="00ED7D9B" w:rsidRDefault="0013135B" w:rsidP="00ED7D9B">
      <w:pPr>
        <w:pStyle w:val="Akapitzlist"/>
        <w:numPr>
          <w:ilvl w:val="0"/>
          <w:numId w:val="32"/>
        </w:numPr>
        <w:ind w:left="426" w:hanging="426"/>
        <w:jc w:val="both"/>
        <w:rPr>
          <w:i/>
        </w:rPr>
      </w:pPr>
      <w:r w:rsidRPr="00ED7D9B">
        <w:rPr>
          <w:i/>
        </w:rPr>
        <w:t xml:space="preserve">Czy stwierdzenie bezskuteczności normy przeliczeniowej, określającej zasady ustalania wartości waluty obcej w umowie kredytu indeksowanego (wskazanej w art. 69 pkt 4b prawa bankowego), uwzględniając art. 3851 § 2 k.c. zgodnie z którym strony są związane umową w pozostałym zakresie oraz art. 358 § 2 k.c., zgodnie z którym wartość waluty obcej określa się według kursu </w:t>
      </w:r>
      <w:r w:rsidRPr="00ED7D9B">
        <w:rPr>
          <w:i/>
        </w:rPr>
        <w:lastRenderedPageBreak/>
        <w:t xml:space="preserve">średniego ogłaszanego przez Narodowy Bank Polski z dnia wymagalności roszczenia, chyba że ustawa, orzeczenie sądowe lub czynność prawna zastrzega inaczej, prowadzi do: </w:t>
      </w:r>
    </w:p>
    <w:p w:rsidR="00EA51E2" w:rsidRPr="00ED7D9B" w:rsidRDefault="0013135B" w:rsidP="001E1F60">
      <w:pPr>
        <w:ind w:left="1134"/>
        <w:jc w:val="both"/>
        <w:rPr>
          <w:i/>
        </w:rPr>
      </w:pPr>
      <w:r w:rsidRPr="00ED7D9B">
        <w:rPr>
          <w:i/>
        </w:rPr>
        <w:t>(i) utrzymania umowy w mocy i zachowania jej indeksowanego charakteru, przy uwzględnieniu normy dyspozytywnej (art. 358 § 2 k.c.), tj. przyjmując zasadę, że rozliczenia walutowe powinny być dokonywane w oparciu o kurs śre</w:t>
      </w:r>
      <w:r w:rsidR="00EA51E2" w:rsidRPr="00ED7D9B">
        <w:rPr>
          <w:i/>
        </w:rPr>
        <w:t>dni Narodowego Banku Polskiego;</w:t>
      </w:r>
    </w:p>
    <w:p w:rsidR="00EA51E2" w:rsidRPr="00ED7D9B" w:rsidRDefault="0013135B" w:rsidP="001E1F60">
      <w:pPr>
        <w:ind w:left="1134"/>
        <w:jc w:val="both"/>
        <w:rPr>
          <w:i/>
        </w:rPr>
      </w:pPr>
      <w:r w:rsidRPr="00ED7D9B">
        <w:rPr>
          <w:i/>
        </w:rPr>
        <w:t xml:space="preserve">(ii) przyjęcia, że bez normy przeliczeniowej umowa w dalszym ciągu może być wykonywana jako kredyt Złotowy bez indeksacji do waluty obcej, jednocześnie oprocentowany w oparciu o stopy referencyjne właściwe dla waluty indeksacji; </w:t>
      </w:r>
    </w:p>
    <w:p w:rsidR="00EA51E2" w:rsidRPr="00ED7D9B" w:rsidRDefault="0013135B" w:rsidP="001E1F60">
      <w:pPr>
        <w:ind w:left="1134"/>
        <w:jc w:val="both"/>
        <w:rPr>
          <w:i/>
        </w:rPr>
      </w:pPr>
      <w:r w:rsidRPr="00ED7D9B">
        <w:rPr>
          <w:i/>
        </w:rPr>
        <w:t>(iii) upadku tej umowy, w związku z jej niewykonalnością bądź przyjęciem, że norma przeliczeniowa kształtuje główne świadczenia stron, c</w:t>
      </w:r>
      <w:r w:rsidR="00731348">
        <w:rPr>
          <w:i/>
        </w:rPr>
        <w:t>o jest skutkiem automatycznym w </w:t>
      </w:r>
      <w:r w:rsidRPr="00ED7D9B">
        <w:rPr>
          <w:i/>
        </w:rPr>
        <w:t xml:space="preserve">każdej sprawie, w której konsument wyraził tego rodzaju oczekiwanie w swoim żądaniu, nawet jeśli konsument błędnie pojmuje skutki upadku umowy (np. licząc, że nie będzie musiał spłacić kredytu); </w:t>
      </w:r>
    </w:p>
    <w:p w:rsidR="00EA51E2" w:rsidRPr="00ED7D9B" w:rsidRDefault="0013135B" w:rsidP="001E1F60">
      <w:pPr>
        <w:ind w:left="1134"/>
        <w:jc w:val="both"/>
        <w:rPr>
          <w:i/>
        </w:rPr>
      </w:pPr>
      <w:r w:rsidRPr="00ED7D9B">
        <w:rPr>
          <w:i/>
        </w:rPr>
        <w:t>(iv) upadku tej umowy, z przyczyn wskazanych pod ppkt. (iii) z tą jednak różnicą, że Sąd powinien zbadać, czy konsument wyraził swoją wolę unieważnienia umowy w sposób świadomy co do wszystkich skutków nieważności umowy.</w:t>
      </w:r>
    </w:p>
    <w:p w:rsidR="00ED7D9B" w:rsidRDefault="00ED7D9B" w:rsidP="001E1F60">
      <w:pPr>
        <w:ind w:left="1134"/>
        <w:jc w:val="both"/>
      </w:pPr>
    </w:p>
    <w:p w:rsidR="0013135B" w:rsidRDefault="00EA51E2" w:rsidP="001E1F60">
      <w:pPr>
        <w:ind w:left="1134"/>
        <w:jc w:val="both"/>
      </w:pPr>
      <w:r>
        <w:t xml:space="preserve">Sygn. akt I CSK 2422/22 POSTANOWIENIE Dnia 20 września 2022 r. </w:t>
      </w:r>
      <w:r>
        <w:br/>
      </w:r>
    </w:p>
    <w:p w:rsidR="00421645" w:rsidRDefault="00731348" w:rsidP="00731348">
      <w:pPr>
        <w:pStyle w:val="Akapitzlist"/>
        <w:numPr>
          <w:ilvl w:val="0"/>
          <w:numId w:val="33"/>
        </w:numPr>
        <w:ind w:left="426" w:hanging="426"/>
        <w:jc w:val="both"/>
        <w:rPr>
          <w:i/>
        </w:rPr>
      </w:pPr>
      <w:r>
        <w:rPr>
          <w:i/>
        </w:rPr>
        <w:t>W</w:t>
      </w:r>
      <w:r w:rsidR="00421645" w:rsidRPr="00731348">
        <w:rPr>
          <w:i/>
        </w:rPr>
        <w:t xml:space="preserve"> razie uznania, że postanowienie umowy kredytu indeksowanego odnoszące się do sposobu określenia kursu waluty obcej stanowi niedozwolone postanowienie umowne i nie  wiąże konsumenta, czy możliwe jest przyjęcie, że w miejsce tego postanowienia zajmuje inny sposób określenia kursu waluty obcej wynikający z przepisów prawa o charakterze dyspozytywnym, a przy tym czy musi to być przepis wyraźnie przewidziany do zastosowania w tego typu sytuacji, czy może to być przepis dyspozytywny o ogólnym charakterze, a nadto czy sąd nie ma możliwości stosowania tego typu norm dyspozytywnych w ogóle, z uwagi na wymóg osiągnięcia odpowiedniego efektu odstraszającego przedsiębiorcę; </w:t>
      </w:r>
    </w:p>
    <w:p w:rsidR="009F46AF" w:rsidRPr="00731348" w:rsidRDefault="009F46AF" w:rsidP="009F46AF">
      <w:pPr>
        <w:pStyle w:val="Akapitzlist"/>
        <w:ind w:left="426"/>
        <w:jc w:val="both"/>
        <w:rPr>
          <w:i/>
        </w:rPr>
      </w:pPr>
    </w:p>
    <w:p w:rsidR="00642B92" w:rsidRDefault="00642B92" w:rsidP="00731348">
      <w:pPr>
        <w:ind w:firstLine="426"/>
        <w:jc w:val="both"/>
      </w:pPr>
      <w:r>
        <w:t xml:space="preserve">Sygn. akt I CSK 2333/22 POSTANOWIENIE Dnia 15 czerwca 2022 r. </w:t>
      </w:r>
    </w:p>
    <w:p w:rsidR="00731348" w:rsidRDefault="005127EF" w:rsidP="00731348">
      <w:pPr>
        <w:ind w:firstLine="426"/>
        <w:jc w:val="both"/>
      </w:pPr>
      <w:r>
        <w:t xml:space="preserve">Sygn. akt I CSK 2722/22 POSTANOWIENIE Dnia 23 czerwca 2022 r. </w:t>
      </w:r>
    </w:p>
    <w:p w:rsidR="00421645" w:rsidRDefault="00421645" w:rsidP="00731348">
      <w:pPr>
        <w:ind w:firstLine="426"/>
        <w:jc w:val="both"/>
      </w:pPr>
      <w:r>
        <w:t xml:space="preserve">Sygn. akt I CSK 3924/22 POSTANOWIENIE Dnia 22 sierpnia 2022 r. </w:t>
      </w:r>
    </w:p>
    <w:p w:rsidR="00421645" w:rsidRDefault="00421645" w:rsidP="001E1F60">
      <w:pPr>
        <w:jc w:val="both"/>
      </w:pPr>
    </w:p>
    <w:p w:rsidR="00421645" w:rsidRPr="00731348" w:rsidRDefault="00421645" w:rsidP="00731348">
      <w:pPr>
        <w:pStyle w:val="Akapitzlist"/>
        <w:numPr>
          <w:ilvl w:val="0"/>
          <w:numId w:val="34"/>
        </w:numPr>
        <w:ind w:left="426" w:hanging="426"/>
        <w:jc w:val="both"/>
        <w:rPr>
          <w:i/>
        </w:rPr>
      </w:pPr>
      <w:r w:rsidRPr="00731348">
        <w:rPr>
          <w:i/>
        </w:rPr>
        <w:lastRenderedPageBreak/>
        <w:t>Czy w przypadku stwierdzenia przez sąd powszechny, że klauzule określające kurs walutowy, stosowany do określenia wysokości świadczenia stron w walucie krajowej, zawarte w umowie kredytu indeksowanego kursem waluty obcej, zawartej przez przedsiębiorcę z konsumentem, mają charakter niedozwolonych postanowień umownych (postanowień abuzywnych) w rozumieniu art. 3851 § 1 k.c., sąd krajowy przez zastosowanie przepisów prawa cywilnego dotyczących wykładni oświadczeń woli oraz treści czynności prawnych powinien uzupełnić stosunek prawny umowy kredytu treścią wynikającą z przepisów prawa krajowego o charakterze dyspozytywnym, jeżeli operacja ta zrealizuje cel art. 6 ust. 1 dyrektywy Rady 93/13/</w:t>
      </w:r>
      <w:r w:rsidR="007B1C7D">
        <w:rPr>
          <w:i/>
        </w:rPr>
        <w:t>EWG z dnia 5 kwietnia 1993 r. w </w:t>
      </w:r>
      <w:r w:rsidRPr="00731348">
        <w:rPr>
          <w:i/>
        </w:rPr>
        <w:t xml:space="preserve">sprawie nieuczciwych warunków w umowach konsumenckich i przywróci faktyczną równowagę między stronami, np. przez odwołanie do kursu średniego NBP, do rozliczeń stron na podstawie art. 358 § 2 k.c., bądź art. 69 ust. 3 Prawa bankowego, ewentualnie art. 24 ustawy o Narodowym Banku Polskim, art. 41 ustawy Prawo wekslowe lub przez wykładnię oświadczeń woli stron na podstawie art. 65 k.c.? </w:t>
      </w:r>
    </w:p>
    <w:p w:rsidR="003F68A7" w:rsidRPr="00731348" w:rsidRDefault="003F68A7" w:rsidP="00731348">
      <w:pPr>
        <w:pStyle w:val="Akapitzlist"/>
        <w:ind w:left="426"/>
        <w:jc w:val="both"/>
        <w:rPr>
          <w:i/>
        </w:rPr>
      </w:pPr>
      <w:r w:rsidRPr="00731348">
        <w:rPr>
          <w:i/>
        </w:rPr>
        <w:t xml:space="preserve">Czy podejmując taką decyzję Sądy powinny brać pod uwagę konieczność zachowania proporcjonalności między wagą naruszenia i jej potencjalnymi skutkami a konsekwencjami dla obu stron przyjętego przez Sąd rozwiązania, w szczególności w kontekście zasady równości prawa, proporcjonalności – adekwatności konsekwencji dla stron do rzeczywistej wagi stawianych bankowi zarzutów, zgodności z zasadami współżycia społecznego? </w:t>
      </w:r>
    </w:p>
    <w:p w:rsidR="003F68A7" w:rsidRDefault="003F68A7" w:rsidP="001E1F60">
      <w:pPr>
        <w:pStyle w:val="Akapitzlist"/>
        <w:jc w:val="both"/>
      </w:pPr>
    </w:p>
    <w:p w:rsidR="003F68A7" w:rsidRDefault="003F68A7" w:rsidP="00731348">
      <w:pPr>
        <w:pStyle w:val="Akapitzlist"/>
        <w:ind w:hanging="294"/>
        <w:jc w:val="both"/>
      </w:pPr>
      <w:r>
        <w:t>I CSK 3604/22 POSTANOWIENIE Dnia 31 sierpnia 2022 r. SSN Marcin Łochowski</w:t>
      </w:r>
    </w:p>
    <w:p w:rsidR="00EA51E2" w:rsidRDefault="00EA51E2" w:rsidP="001E1F60">
      <w:pPr>
        <w:pStyle w:val="Akapitzlist"/>
        <w:jc w:val="both"/>
      </w:pPr>
    </w:p>
    <w:p w:rsidR="00EA51E2" w:rsidRDefault="00EA51E2" w:rsidP="00731348">
      <w:pPr>
        <w:pStyle w:val="Akapitzlist"/>
        <w:numPr>
          <w:ilvl w:val="0"/>
          <w:numId w:val="34"/>
        </w:numPr>
        <w:ind w:left="426" w:hanging="426"/>
        <w:jc w:val="both"/>
      </w:pPr>
      <w:r>
        <w:t xml:space="preserve">Czy przy stosowaniu przepisów dotyczących niedozwolonych postanowień umownych, tj. art. 3851 k.c. oraz art. 3852 k.c. w zw. z art. 6 ust. 1 oraz art. 7 Dyrektywy 93/13 sąd powinien uwzględnić także podstawowe zasady porządku prawnego w Polsce oraz w Unii Europejskiej, takie jak zasada proporcjonalności, równości oraz pewności prawa? </w:t>
      </w:r>
      <w:r w:rsidR="00731348">
        <w:t>W szczególności czy orzekając o </w:t>
      </w:r>
      <w:r>
        <w:t>konsekwencjach uznania postanowień umowy za niedozwolone, Sąd może zastosować sankcję skrajnie korzystną dla konsumenta, ale prowadzącą do naruszenia zasady proporcjonalności, pewności prawa i równości?</w:t>
      </w:r>
    </w:p>
    <w:p w:rsidR="00EA51E2" w:rsidRDefault="00EA51E2" w:rsidP="001E1F60">
      <w:pPr>
        <w:pStyle w:val="Akapitzlist"/>
        <w:jc w:val="both"/>
      </w:pPr>
    </w:p>
    <w:p w:rsidR="00EA51E2" w:rsidRDefault="00EA51E2" w:rsidP="00731348">
      <w:pPr>
        <w:pStyle w:val="Akapitzlist"/>
        <w:ind w:hanging="294"/>
        <w:jc w:val="both"/>
      </w:pPr>
      <w:r>
        <w:t xml:space="preserve">Sygn. akt I CSK 2422/22 POSTANOWIENIE Dnia 20 września 2022 r. </w:t>
      </w:r>
    </w:p>
    <w:p w:rsidR="003F68A7" w:rsidRDefault="003F68A7" w:rsidP="001E1F60">
      <w:pPr>
        <w:pStyle w:val="Akapitzlist"/>
        <w:jc w:val="both"/>
      </w:pPr>
    </w:p>
    <w:p w:rsidR="00731348" w:rsidRPr="00731348" w:rsidRDefault="004C778A" w:rsidP="00731348">
      <w:pPr>
        <w:pStyle w:val="Akapitzlist"/>
        <w:numPr>
          <w:ilvl w:val="0"/>
          <w:numId w:val="35"/>
        </w:numPr>
        <w:ind w:left="426" w:hanging="426"/>
        <w:jc w:val="both"/>
        <w:rPr>
          <w:i/>
        </w:rPr>
      </w:pPr>
      <w:r w:rsidRPr="00731348">
        <w:rPr>
          <w:i/>
        </w:rPr>
        <w:t xml:space="preserve">Czy stwierdzenie przez Sąd nieważności norm, zawartych w umowie| kredytu indeksowanego (waloryzowanego) do kursu waluty obcej, regulujących odesłanie do konkretnego źródła pochodzenia kursu walutowego (kursu kupna i sprzedaży, tzw. klauzula spreadu), skutkuje koniecznością dokonania wykładni postanowień umowy z pominięciem klauzuli spreadu, </w:t>
      </w:r>
      <w:r w:rsidRPr="00731348">
        <w:rPr>
          <w:i/>
        </w:rPr>
        <w:lastRenderedPageBreak/>
        <w:t>natomiast z wykorzystaniem przepisów dyspozytywnych o charakterze szczególnym w brzmieniu aktualnym na dzień zawarcia umowy, w szczególności art. 358 § 2 k.c. oraz stwierdzeniem, że umowa podlega wykonaniu, z wykorzystaniem do przeliczeń kursu średniego waluty indeksacji publikowanego przez Narodowy Bank Polski, aktualnego na dz</w:t>
      </w:r>
      <w:r w:rsidR="00731348" w:rsidRPr="00731348">
        <w:rPr>
          <w:i/>
        </w:rPr>
        <w:t>ień danej operacji finansowej?</w:t>
      </w:r>
    </w:p>
    <w:p w:rsidR="00421645" w:rsidRDefault="004C778A" w:rsidP="00731348">
      <w:pPr>
        <w:pStyle w:val="Akapitzlist"/>
        <w:ind w:left="426"/>
        <w:jc w:val="both"/>
      </w:pPr>
      <w:r>
        <w:br/>
      </w:r>
      <w:r>
        <w:t xml:space="preserve">Sygn. akt I CSK 2314/22 POSTANOWIENIE Dnia 31 maja 2022 r. </w:t>
      </w:r>
    </w:p>
    <w:p w:rsidR="00421645" w:rsidRDefault="00421645" w:rsidP="001E1F60">
      <w:pPr>
        <w:jc w:val="both"/>
      </w:pPr>
    </w:p>
    <w:p w:rsidR="00421645" w:rsidRDefault="00421645" w:rsidP="001E1F60">
      <w:pPr>
        <w:pStyle w:val="Nagwek1"/>
      </w:pPr>
      <w:r>
        <w:t>Dalsze trwanie umowy</w:t>
      </w:r>
    </w:p>
    <w:p w:rsidR="00731348" w:rsidRPr="00731348" w:rsidRDefault="0096390C" w:rsidP="00731348">
      <w:pPr>
        <w:pStyle w:val="Akapitzlist"/>
        <w:numPr>
          <w:ilvl w:val="0"/>
          <w:numId w:val="36"/>
        </w:numPr>
        <w:ind w:left="426" w:hanging="426"/>
        <w:jc w:val="both"/>
        <w:rPr>
          <w:i/>
        </w:rPr>
      </w:pPr>
      <w:r w:rsidRPr="00731348">
        <w:rPr>
          <w:i/>
        </w:rPr>
        <w:t>Czy biorąc pod uwagę cele dyrektywy 93/13 oraz wykładnię art. 3851 § 2 k.c. wola konsumenta doprowadzenia do upadku umowy w razie wyeliminowanie z jej treści postanowień o charakterze niedozwolonym w rozumieniu art. 3851 § 1 k.c. jest decydującym kryterium przy ocenie możliwości dalszego wykonywania umowy pozbawionej klauzul uznanych za abuzywne? W szczególności, czy w sytuacji, w której umowa może dalej obiektywnie obowiązywać zgodnie z krajowym porządkiem prawnym na podstawie pozostałych, nieabuzywnych postanowień, Sąd może stwierdzić jej nieważność kierując się w tym zakresie wyłącznie interesem konsumenta?</w:t>
      </w:r>
    </w:p>
    <w:p w:rsidR="00731348" w:rsidRDefault="00731348" w:rsidP="00731348">
      <w:pPr>
        <w:pStyle w:val="Akapitzlist"/>
        <w:ind w:hanging="294"/>
        <w:jc w:val="both"/>
      </w:pPr>
    </w:p>
    <w:p w:rsidR="0096390C" w:rsidRDefault="0096390C" w:rsidP="00731348">
      <w:pPr>
        <w:pStyle w:val="Akapitzlist"/>
        <w:ind w:hanging="294"/>
        <w:jc w:val="both"/>
      </w:pPr>
      <w:r>
        <w:t xml:space="preserve">Sygn. akt I CSK 2459/22 POSTANOWIENIE Dnia 25 maja 2022 r. </w:t>
      </w:r>
    </w:p>
    <w:p w:rsidR="00731348" w:rsidRDefault="00731348" w:rsidP="00731348">
      <w:pPr>
        <w:pStyle w:val="Akapitzlist"/>
        <w:ind w:hanging="294"/>
        <w:jc w:val="both"/>
      </w:pPr>
    </w:p>
    <w:p w:rsidR="00731348" w:rsidRPr="00731348" w:rsidRDefault="0004268C" w:rsidP="00731348">
      <w:pPr>
        <w:pStyle w:val="Akapitzlist"/>
        <w:numPr>
          <w:ilvl w:val="0"/>
          <w:numId w:val="37"/>
        </w:numPr>
        <w:ind w:left="426" w:hanging="426"/>
        <w:jc w:val="both"/>
        <w:rPr>
          <w:i/>
        </w:rPr>
      </w:pPr>
      <w:r w:rsidRPr="00731348">
        <w:rPr>
          <w:i/>
        </w:rPr>
        <w:t>Czy stwierdzenie bezskuteczności normy przeliczeniowej, określającej zasady ustalania wartości waluty obcej w u</w:t>
      </w:r>
      <w:r w:rsidRPr="00731348">
        <w:rPr>
          <w:i/>
        </w:rPr>
        <w:t xml:space="preserve">mowie kredytu denominowanego w </w:t>
      </w:r>
      <w:r w:rsidRPr="00731348">
        <w:rPr>
          <w:i/>
        </w:rPr>
        <w:t xml:space="preserve"> walucie obcej, zawartej przed 24 stycznia 2009 r., uwzględniając art. 3851 § 2 k.c., zgodnie z kt</w:t>
      </w:r>
      <w:r w:rsidR="00731348">
        <w:rPr>
          <w:i/>
        </w:rPr>
        <w:t>órym strony są związane umową w </w:t>
      </w:r>
      <w:r w:rsidRPr="00731348">
        <w:rPr>
          <w:i/>
        </w:rPr>
        <w:t>pozostałym zakresie, prowadzi do:</w:t>
      </w:r>
    </w:p>
    <w:p w:rsidR="00731348" w:rsidRDefault="0004268C" w:rsidP="00731348">
      <w:pPr>
        <w:pStyle w:val="Akapitzlist"/>
        <w:numPr>
          <w:ilvl w:val="0"/>
          <w:numId w:val="38"/>
        </w:numPr>
        <w:jc w:val="both"/>
      </w:pPr>
      <w:r w:rsidRPr="00731348">
        <w:rPr>
          <w:i/>
        </w:rPr>
        <w:t xml:space="preserve">utrzymania umowy w mocy i przyjęcia, że w takiej sytuacji nie powstaje luka w umowie - umowa zachowuje walutowy charakter, skoro saldo kredytu od początku w umowie było wyrażone w CHF, a umowa umożliwiała zarówno wypłatę jak </w:t>
      </w:r>
      <w:r w:rsidR="00731348">
        <w:rPr>
          <w:i/>
        </w:rPr>
        <w:t>i spłatę kredytu bezpośrednio w </w:t>
      </w:r>
      <w:r w:rsidRPr="00731348">
        <w:rPr>
          <w:i/>
        </w:rPr>
        <w:t xml:space="preserve">CHF, </w:t>
      </w:r>
      <w:r w:rsidRPr="00731348">
        <w:rPr>
          <w:i/>
        </w:rPr>
        <w:br/>
      </w:r>
      <w:r w:rsidRPr="00731348">
        <w:rPr>
          <w:i/>
        </w:rPr>
        <w:t>b) konieczności uzupełniania umowy normą dyspozytywną, w celu uniknięcia unieważnienia tej umowy, przy czym nie ma przeszkód by uzupełnić tr</w:t>
      </w:r>
      <w:r w:rsidR="00731348">
        <w:rPr>
          <w:i/>
        </w:rPr>
        <w:t>eść umowy przepisem ustawowym w </w:t>
      </w:r>
      <w:r w:rsidRPr="00731348">
        <w:rPr>
          <w:i/>
        </w:rPr>
        <w:t>nowym brzmieniu, przyjętym już po zawarciu umow</w:t>
      </w:r>
      <w:r w:rsidR="00731348">
        <w:rPr>
          <w:i/>
        </w:rPr>
        <w:t>y, jako normą, która korzysta z </w:t>
      </w:r>
      <w:r w:rsidRPr="00731348">
        <w:rPr>
          <w:i/>
        </w:rPr>
        <w:t xml:space="preserve">domniemania uczciwości zgodnie z motywem 13. dyrektywy 93/13, </w:t>
      </w:r>
      <w:r w:rsidRPr="00731348">
        <w:rPr>
          <w:i/>
        </w:rPr>
        <w:br/>
      </w:r>
      <w:r w:rsidRPr="00731348">
        <w:rPr>
          <w:i/>
        </w:rPr>
        <w:t>c) utrzymania umowy w mocy i przyjęcia, że umowa o</w:t>
      </w:r>
      <w:r w:rsidR="007B1C7D">
        <w:rPr>
          <w:i/>
        </w:rPr>
        <w:t>d początku była umowa kredytu w </w:t>
      </w:r>
      <w:r w:rsidRPr="00731348">
        <w:rPr>
          <w:i/>
        </w:rPr>
        <w:t xml:space="preserve">złotych polskich, a kwotą kredytu jest kwota rzeczywiści wypłacona w złotych polskich, </w:t>
      </w:r>
      <w:r w:rsidRPr="00731348">
        <w:rPr>
          <w:i/>
        </w:rPr>
        <w:br/>
      </w:r>
      <w:r w:rsidRPr="00731348">
        <w:rPr>
          <w:i/>
        </w:rPr>
        <w:t xml:space="preserve">d) upadku tej umowy, z uwagi na jej niewykonalność, co jest zależne jednak od tego, czy konsument wyraził swoją wolę unieważnienia umowy w sposób świadomy co do wszystkich </w:t>
      </w:r>
      <w:r w:rsidRPr="00731348">
        <w:rPr>
          <w:i/>
        </w:rPr>
        <w:lastRenderedPageBreak/>
        <w:t>skutków nieważności umowy i zaakceptował również niekorzystne skutki tego unieważnienia?</w:t>
      </w:r>
      <w:r>
        <w:br/>
      </w:r>
    </w:p>
    <w:p w:rsidR="0004268C" w:rsidRDefault="0004268C" w:rsidP="00731348">
      <w:pPr>
        <w:ind w:left="720"/>
        <w:jc w:val="both"/>
      </w:pPr>
      <w:r>
        <w:t xml:space="preserve">Sygn. akt I CSK 2553/22 POSTANOWIENIE Dnia 25 maja 2022 r. </w:t>
      </w:r>
    </w:p>
    <w:p w:rsidR="00731348" w:rsidRDefault="0096390C" w:rsidP="00731348">
      <w:pPr>
        <w:pStyle w:val="Akapitzlist"/>
        <w:jc w:val="both"/>
      </w:pPr>
      <w:r>
        <w:t xml:space="preserve">Sygn. akt I CSK 2459/22 POSTANOWIENIE Dnia 25 maja 2022 r. </w:t>
      </w:r>
    </w:p>
    <w:p w:rsidR="00731348" w:rsidRDefault="00731348" w:rsidP="00731348">
      <w:pPr>
        <w:pStyle w:val="Akapitzlist"/>
        <w:jc w:val="both"/>
      </w:pPr>
    </w:p>
    <w:p w:rsidR="0004268C" w:rsidRPr="00731348" w:rsidRDefault="0004268C" w:rsidP="00731348">
      <w:pPr>
        <w:pStyle w:val="Akapitzlist"/>
        <w:numPr>
          <w:ilvl w:val="0"/>
          <w:numId w:val="37"/>
        </w:numPr>
        <w:ind w:left="567" w:hanging="567"/>
        <w:jc w:val="both"/>
        <w:rPr>
          <w:i/>
        </w:rPr>
      </w:pPr>
      <w:r w:rsidRPr="00731348">
        <w:rPr>
          <w:i/>
        </w:rPr>
        <w:t>Czy klauzule przeliczeniowe w umowie kredytu wyrażonego (denominowanego) w walucie obcej określają „świadczenia główne” stron tej umowy w rozumieniu przepisu art. 3851 § 1 zd. 2 k.c., czy spełniają jedynie funkcję pomocniczą dla tych świadczeń, i czy w tym drugim przypadku, ich eliminacja z treści umowy jako postanowień niedozwolonych jest równoznaczna z pozbawieniem umowy jej elementów przedmiotowo istotnych (essentialia negotii) prowadzącym do nieważności umowy?</w:t>
      </w:r>
    </w:p>
    <w:p w:rsidR="00731348" w:rsidRDefault="00731348" w:rsidP="001E1F60">
      <w:pPr>
        <w:pStyle w:val="Akapitzlist"/>
        <w:jc w:val="both"/>
      </w:pPr>
    </w:p>
    <w:p w:rsidR="0004268C" w:rsidRDefault="0004268C" w:rsidP="00731348">
      <w:pPr>
        <w:pStyle w:val="Akapitzlist"/>
        <w:ind w:hanging="153"/>
        <w:jc w:val="both"/>
      </w:pPr>
      <w:r>
        <w:t xml:space="preserve">Sygn. akt I CSK 2553/22 POSTANOWIENIE Dnia 25 maja 2022 r. </w:t>
      </w:r>
    </w:p>
    <w:p w:rsidR="00731348" w:rsidRDefault="00731348" w:rsidP="001E1F60">
      <w:pPr>
        <w:pStyle w:val="Akapitzlist"/>
        <w:jc w:val="both"/>
      </w:pPr>
    </w:p>
    <w:p w:rsidR="0096390C" w:rsidRPr="00731348" w:rsidRDefault="0096390C" w:rsidP="00731348">
      <w:pPr>
        <w:pStyle w:val="Akapitzlist"/>
        <w:numPr>
          <w:ilvl w:val="0"/>
          <w:numId w:val="37"/>
        </w:numPr>
        <w:ind w:left="567" w:hanging="567"/>
        <w:jc w:val="both"/>
        <w:rPr>
          <w:i/>
        </w:rPr>
      </w:pPr>
      <w:r w:rsidRPr="00731348">
        <w:rPr>
          <w:i/>
        </w:rPr>
        <w:t>Czy klauzule przeliczenia walutowego w umowie kredyt</w:t>
      </w:r>
      <w:r w:rsidR="00731348">
        <w:rPr>
          <w:i/>
        </w:rPr>
        <w:t>u wyrażonego (denominowanego) w </w:t>
      </w:r>
      <w:r w:rsidRPr="00731348">
        <w:rPr>
          <w:i/>
        </w:rPr>
        <w:t>walucie obcej określają „świadczenia główne” stron tej umowy w rozumieniu przepisu art. 3851 §1 zd. 2 k.c., czy spełniają jedynie funkcję pomocniczą dla tych świadczeń, i czy w tym drugim przypadku, ich eliminacja z treści umowy jako postanowień niedozwolonych jest równoznaczna ze zmianą charakteru i natury umowy kredytu, w tym eliminacji charakterystycznego dla tej umowy elementu jakim jest ryzyko walutowe, czy też możliwe jest dalsze wykonywanie umowy pomimo usunięcia klauzul przeliczeniowych, m.in. ze względu na naturę stosunku jaki powstaje na gruncie umowy kredytu denominowanego?</w:t>
      </w:r>
    </w:p>
    <w:p w:rsidR="00731348" w:rsidRDefault="00731348" w:rsidP="001E1F60">
      <w:pPr>
        <w:pStyle w:val="Akapitzlist"/>
        <w:jc w:val="both"/>
      </w:pPr>
    </w:p>
    <w:p w:rsidR="00731348" w:rsidRDefault="0096390C" w:rsidP="00731348">
      <w:pPr>
        <w:pStyle w:val="Akapitzlist"/>
        <w:ind w:hanging="153"/>
        <w:jc w:val="both"/>
      </w:pPr>
      <w:r>
        <w:t xml:space="preserve">Sygn. akt I CSK 2459/22 POSTANOWIENIE Dnia 25 maja 2022 r. </w:t>
      </w:r>
    </w:p>
    <w:p w:rsidR="00731348" w:rsidRDefault="00731348" w:rsidP="00731348">
      <w:pPr>
        <w:pStyle w:val="Akapitzlist"/>
        <w:jc w:val="both"/>
      </w:pPr>
    </w:p>
    <w:p w:rsidR="00731348" w:rsidRPr="00731348" w:rsidRDefault="00731348" w:rsidP="00731348">
      <w:pPr>
        <w:pStyle w:val="Akapitzlist"/>
        <w:numPr>
          <w:ilvl w:val="0"/>
          <w:numId w:val="37"/>
        </w:numPr>
        <w:ind w:left="567" w:hanging="567"/>
        <w:jc w:val="both"/>
        <w:rPr>
          <w:i/>
        </w:rPr>
      </w:pPr>
      <w:r w:rsidRPr="00731348">
        <w:rPr>
          <w:i/>
        </w:rPr>
        <w:t>C</w:t>
      </w:r>
      <w:r w:rsidR="00642B92" w:rsidRPr="00731348">
        <w:rPr>
          <w:i/>
        </w:rPr>
        <w:t>zy w razie niemożliwości ustalenia wiążącego strony kursu waluty obcej w umowie kredytu denominowanego w walucie obcej umowa ta powinna wiązać strony w pozostałym zakresie i czy w celu ustalenia powyższego powinno się dokonać weryfikacji możliwości dalszego trwania umowy na moment orzekania, względnie zaistnienia sporu</w:t>
      </w:r>
      <w:r w:rsidRPr="00731348">
        <w:rPr>
          <w:i/>
        </w:rPr>
        <w:t>.</w:t>
      </w:r>
    </w:p>
    <w:p w:rsidR="00731348" w:rsidRDefault="00731348" w:rsidP="00731348">
      <w:pPr>
        <w:pStyle w:val="Akapitzlist"/>
        <w:ind w:left="567"/>
        <w:jc w:val="both"/>
      </w:pPr>
    </w:p>
    <w:p w:rsidR="00642B92" w:rsidRDefault="00642B92" w:rsidP="00731348">
      <w:pPr>
        <w:pStyle w:val="Akapitzlist"/>
        <w:ind w:left="567"/>
        <w:jc w:val="both"/>
      </w:pPr>
      <w:r>
        <w:t xml:space="preserve">Sygn. akt I CSK 2333/22 POSTANOWIENIE Dnia 15 czerwca 2022 r. </w:t>
      </w:r>
    </w:p>
    <w:p w:rsidR="00731348" w:rsidRDefault="00731348" w:rsidP="00731348">
      <w:pPr>
        <w:pStyle w:val="Akapitzlist"/>
        <w:ind w:left="567"/>
        <w:jc w:val="both"/>
      </w:pPr>
    </w:p>
    <w:p w:rsidR="00D66667" w:rsidRPr="00731348" w:rsidRDefault="00731348" w:rsidP="00731348">
      <w:pPr>
        <w:pStyle w:val="Akapitzlist"/>
        <w:numPr>
          <w:ilvl w:val="0"/>
          <w:numId w:val="39"/>
        </w:numPr>
        <w:ind w:left="567" w:hanging="567"/>
        <w:jc w:val="both"/>
        <w:rPr>
          <w:i/>
        </w:rPr>
      </w:pPr>
      <w:r w:rsidRPr="00731348">
        <w:rPr>
          <w:i/>
        </w:rPr>
        <w:t>C</w:t>
      </w:r>
      <w:r w:rsidR="00D66667" w:rsidRPr="00731348">
        <w:rPr>
          <w:i/>
        </w:rPr>
        <w:t>zy eliminacja klauzul odnoszących się do tabel kursowych banku w umowie kredytu wyrażonego (denominowanego) w walucie obcej jako postanowień nied</w:t>
      </w:r>
      <w:r w:rsidR="007B1C7D">
        <w:rPr>
          <w:i/>
        </w:rPr>
        <w:t xml:space="preserve">ozwolonych, jest równoznaczna </w:t>
      </w:r>
      <w:r w:rsidR="007B1C7D">
        <w:rPr>
          <w:i/>
        </w:rPr>
        <w:lastRenderedPageBreak/>
        <w:t>z </w:t>
      </w:r>
      <w:r w:rsidR="00D66667" w:rsidRPr="00731348">
        <w:rPr>
          <w:i/>
        </w:rPr>
        <w:t>pozbawieniem umowy jej elementów przedmiotowo istotnych (essentialia negotii) prowadzącym do nieważności umowy, czy też możliwe jest dalsze wykonywanie umowy pomimo usunięcia klauzul przeliczeniowych, ze względu na to, że saldo kredytu od początku w umowie było wyrażone w CHF</w:t>
      </w:r>
    </w:p>
    <w:p w:rsidR="00731348" w:rsidRDefault="00731348" w:rsidP="00731348">
      <w:pPr>
        <w:pStyle w:val="Akapitzlist"/>
        <w:jc w:val="both"/>
      </w:pPr>
    </w:p>
    <w:p w:rsidR="00D66667" w:rsidRDefault="00D66667" w:rsidP="00731348">
      <w:pPr>
        <w:pStyle w:val="Akapitzlist"/>
        <w:ind w:hanging="153"/>
        <w:jc w:val="both"/>
      </w:pPr>
      <w:r>
        <w:t xml:space="preserve">Sygn. akt I CSK 2326/22 POSTANOWIENIE Dnia 15 czerwca 2022 r. </w:t>
      </w:r>
    </w:p>
    <w:p w:rsidR="00731348" w:rsidRDefault="00731348" w:rsidP="00731348">
      <w:pPr>
        <w:pStyle w:val="Akapitzlist"/>
        <w:ind w:hanging="153"/>
        <w:jc w:val="both"/>
      </w:pPr>
    </w:p>
    <w:p w:rsidR="00731348" w:rsidRPr="00731348" w:rsidRDefault="00D66667" w:rsidP="00731348">
      <w:pPr>
        <w:pStyle w:val="Akapitzlist"/>
        <w:numPr>
          <w:ilvl w:val="0"/>
          <w:numId w:val="40"/>
        </w:numPr>
        <w:ind w:left="567" w:hanging="567"/>
        <w:jc w:val="both"/>
        <w:rPr>
          <w:i/>
        </w:rPr>
      </w:pPr>
      <w:r w:rsidRPr="00731348">
        <w:rPr>
          <w:i/>
        </w:rPr>
        <w:t>Czy umowa kredytu, w której kwota kredytu i wysokość rat została wyrażona w walucie obcej, natomiast jego wypłata i spłata następowała w walucie polskiej, po stwierdzeniu niedozwolonego charakteru postanowień odsyłających do kursu kupna i sprzedaży z tabel kursowych banku, zawiera w szczególności kwotę i walutę oddanego do dyspozycji kredytobiorcy kredytu i czy może ona, wobec treści art. 3851 k.c., dalej obowiązywać?</w:t>
      </w:r>
      <w:r w:rsidRPr="00731348">
        <w:rPr>
          <w:i/>
        </w:rPr>
        <w:br/>
      </w:r>
    </w:p>
    <w:p w:rsidR="00D66667" w:rsidRDefault="00D66667" w:rsidP="00A5552F">
      <w:pPr>
        <w:ind w:firstLine="567"/>
        <w:jc w:val="both"/>
      </w:pPr>
      <w:r>
        <w:t xml:space="preserve">Sygn. akt I CSK 2953/22 POSTANOWIENIE Dnia 22 czerwca 2022 r. </w:t>
      </w:r>
    </w:p>
    <w:p w:rsidR="00A5552F" w:rsidRDefault="00A5552F" w:rsidP="00A5552F">
      <w:pPr>
        <w:ind w:firstLine="567"/>
        <w:jc w:val="both"/>
      </w:pPr>
    </w:p>
    <w:p w:rsidR="00A5552F" w:rsidRPr="00A5552F" w:rsidRDefault="00A5552F" w:rsidP="00A5552F">
      <w:pPr>
        <w:pStyle w:val="Akapitzlist"/>
        <w:numPr>
          <w:ilvl w:val="0"/>
          <w:numId w:val="41"/>
        </w:numPr>
        <w:ind w:left="567" w:hanging="567"/>
        <w:jc w:val="both"/>
      </w:pPr>
      <w:r w:rsidRPr="00A5552F">
        <w:rPr>
          <w:i/>
        </w:rPr>
        <w:t>C</w:t>
      </w:r>
      <w:r w:rsidR="0010632A" w:rsidRPr="00A5552F">
        <w:rPr>
          <w:i/>
        </w:rPr>
        <w:t xml:space="preserve">zy w przypadku uznania w wyniku kontroli incydentalnej obecnych w umowie o kredyt indeksowany do waluty obcej klauzul odnoszących się do indeksacji kredytu kursem waluty obcej za niedozwolone (nieuczciwe) warunki umowne i w konsekwencji przyjęcia upadku umowy jako konsekwencji wyeliminowania z niej mechanizmu indeksacji, kierując się zasadą utrzymania umowy w mocy oraz mając na uwadze postulat </w:t>
      </w:r>
      <w:r w:rsidRPr="00A5552F">
        <w:rPr>
          <w:i/>
        </w:rPr>
        <w:t>przywrócenia sytuacji prawnej i </w:t>
      </w:r>
      <w:r w:rsidR="0010632A" w:rsidRPr="00A5552F">
        <w:rPr>
          <w:i/>
        </w:rPr>
        <w:t>faktycznej konsumenta, w jakiej znajdowałby się on w przypadku braku nieuczciwych warunków umownych, prawidłowe jest odwołanie się, jako do podstawy dla określenia oprocentowania zobowiązań kredytowych wyrażonych w walucie polskiej, do stawki referencyjnej WIBOR, skoro w umowie wiążącej strony stawka ta występuje i jest ona definiowana jako odnosząca się do kredytów nieindeksowanych, wyrażonych w walucie polskiej.</w:t>
      </w:r>
    </w:p>
    <w:p w:rsidR="0010632A" w:rsidRDefault="0010632A" w:rsidP="00A5552F">
      <w:pPr>
        <w:pStyle w:val="Akapitzlist"/>
        <w:ind w:left="567"/>
        <w:jc w:val="both"/>
      </w:pPr>
      <w:r>
        <w:br/>
      </w:r>
      <w:r>
        <w:t xml:space="preserve">Sygn. akt I CSK 1669/22 POSTANOWIENIE Dnia 23 sierpnia 2022 r. </w:t>
      </w:r>
    </w:p>
    <w:p w:rsidR="00A5552F" w:rsidRDefault="00A5552F" w:rsidP="00A5552F">
      <w:pPr>
        <w:pStyle w:val="Akapitzlist"/>
        <w:ind w:left="567"/>
        <w:jc w:val="both"/>
      </w:pPr>
    </w:p>
    <w:p w:rsidR="00421645" w:rsidRDefault="00A5552F" w:rsidP="00A5552F">
      <w:pPr>
        <w:pStyle w:val="Akapitzlist"/>
        <w:numPr>
          <w:ilvl w:val="0"/>
          <w:numId w:val="42"/>
        </w:numPr>
        <w:ind w:left="567" w:hanging="567"/>
        <w:jc w:val="both"/>
        <w:rPr>
          <w:i/>
        </w:rPr>
      </w:pPr>
      <w:r w:rsidRPr="00A5552F">
        <w:rPr>
          <w:i/>
        </w:rPr>
        <w:t>C</w:t>
      </w:r>
      <w:r w:rsidR="00421645" w:rsidRPr="00A5552F">
        <w:rPr>
          <w:i/>
        </w:rPr>
        <w:t>zy w sytuacji stwierdzenia abuzywności postanowień umowy kredytu indeksowanego odnoszących się do sposobu określenia kursu waluty obcej (tj. elementu mechanizmu indeksacji), umowa może obow</w:t>
      </w:r>
      <w:r w:rsidRPr="00A5552F">
        <w:rPr>
          <w:i/>
        </w:rPr>
        <w:t>iązywać w pozostałym zakresie?</w:t>
      </w:r>
    </w:p>
    <w:p w:rsidR="00A5552F" w:rsidRPr="00A5552F" w:rsidRDefault="00A5552F" w:rsidP="00A5552F">
      <w:pPr>
        <w:jc w:val="both"/>
        <w:rPr>
          <w:i/>
        </w:rPr>
      </w:pPr>
    </w:p>
    <w:p w:rsidR="00421645" w:rsidRDefault="00D66667" w:rsidP="00A5552F">
      <w:pPr>
        <w:ind w:firstLine="567"/>
        <w:jc w:val="both"/>
      </w:pPr>
      <w:r>
        <w:t xml:space="preserve">Sygn. akt I CSK 2722/22 POSTANOWIENIE Dnia 23 czerwca 2022 r. </w:t>
      </w:r>
    </w:p>
    <w:p w:rsidR="00421645" w:rsidRDefault="00421645" w:rsidP="00A5552F">
      <w:pPr>
        <w:ind w:firstLine="567"/>
        <w:jc w:val="both"/>
      </w:pPr>
      <w:r>
        <w:t xml:space="preserve">Sygn. akt I CSK 3924/22 POSTANOWIENIE Dnia 22 sierpnia 2022 r. </w:t>
      </w:r>
    </w:p>
    <w:p w:rsidR="0010632A" w:rsidRDefault="0010632A" w:rsidP="001E1F60">
      <w:pPr>
        <w:jc w:val="both"/>
      </w:pPr>
    </w:p>
    <w:p w:rsidR="0010632A" w:rsidRPr="00A5552F" w:rsidRDefault="00A5552F" w:rsidP="00A5552F">
      <w:pPr>
        <w:pStyle w:val="Akapitzlist"/>
        <w:numPr>
          <w:ilvl w:val="0"/>
          <w:numId w:val="42"/>
        </w:numPr>
        <w:ind w:left="567" w:hanging="567"/>
        <w:jc w:val="both"/>
        <w:rPr>
          <w:i/>
        </w:rPr>
      </w:pPr>
      <w:r w:rsidRPr="00A5552F">
        <w:rPr>
          <w:i/>
        </w:rPr>
        <w:t>C</w:t>
      </w:r>
      <w:r w:rsidR="0010632A" w:rsidRPr="00A5552F">
        <w:rPr>
          <w:i/>
        </w:rPr>
        <w:t xml:space="preserve">zy w świetle art 3851 § 1 i 2, art. 3852 k.c. w zw. z art. 6 ust. 1 dyrektywy 93/13, umowa kredytu hipotecznego denominowanego do kursu waluty obcej może pozostać w mocy i być wiążąca dla stron w pozostałym zakresie również w sytuacji, w której zawarta w tej umowie klauzula określająca sposób ustalenia kursu waluty obcej przeznaczonego do przeliczania kapitału kredytu oraz wysokości rat kredytu zostanie uznana za nieuczciwą, a jednocześnie </w:t>
      </w:r>
    </w:p>
    <w:p w:rsidR="0010632A" w:rsidRPr="00A5552F" w:rsidRDefault="00A5552F" w:rsidP="00A5552F">
      <w:pPr>
        <w:pStyle w:val="Akapitzlist"/>
        <w:ind w:left="567"/>
        <w:jc w:val="both"/>
        <w:rPr>
          <w:i/>
        </w:rPr>
      </w:pPr>
      <w:r w:rsidRPr="00A5552F">
        <w:rPr>
          <w:i/>
        </w:rPr>
        <w:t xml:space="preserve">(i) </w:t>
      </w:r>
      <w:r w:rsidR="0010632A" w:rsidRPr="00A5552F">
        <w:rPr>
          <w:i/>
        </w:rPr>
        <w:t xml:space="preserve">wraz z umową kredytu hipotecznego denominowanego do kursu waluty obcej zawierana jest pomiędzy bankiem a konsumentem umowa mająca wpływ na treść umowy kredytu i jej wykonanie w ten sposób, że konsument negocjuje kurs waluty, po jakim ma zostać wypłacony mu kredyt w walucie wynikającej z umowy oraz </w:t>
      </w:r>
    </w:p>
    <w:p w:rsidR="0010632A" w:rsidRPr="00A5552F" w:rsidRDefault="00A5552F" w:rsidP="00A5552F">
      <w:pPr>
        <w:pStyle w:val="Akapitzlist"/>
        <w:ind w:left="567"/>
        <w:jc w:val="both"/>
        <w:rPr>
          <w:i/>
        </w:rPr>
      </w:pPr>
      <w:r w:rsidRPr="00A5552F">
        <w:rPr>
          <w:i/>
        </w:rPr>
        <w:t xml:space="preserve">(ii) </w:t>
      </w:r>
      <w:r w:rsidR="0010632A" w:rsidRPr="00A5552F">
        <w:rPr>
          <w:i/>
        </w:rPr>
        <w:t>umowa kredytu prócz klauzuli określającej sposób ustalenia kursu waluty zawiera postanowienia umożliwiające dokonanie spłaty kredytu w walucie kredytu, tj. zarówno wypłata kredytu jak i spłata kredytu odbywać się może bez odwołania do postanowień określających sposób ustalania kursu waluty przez bank, a co za tym id</w:t>
      </w:r>
      <w:r w:rsidRPr="00A5552F">
        <w:rPr>
          <w:i/>
        </w:rPr>
        <w:t>zie, czy upadek umowy może być</w:t>
      </w:r>
      <w:r w:rsidR="0010632A" w:rsidRPr="00A5552F">
        <w:rPr>
          <w:i/>
        </w:rPr>
        <w:t xml:space="preserve"> spowodowany przez abuzywność klauzu</w:t>
      </w:r>
      <w:r w:rsidRPr="00A5552F">
        <w:rPr>
          <w:i/>
        </w:rPr>
        <w:t>li umownej, która - w związku z </w:t>
      </w:r>
      <w:r w:rsidR="0010632A" w:rsidRPr="00A5552F">
        <w:rPr>
          <w:i/>
        </w:rPr>
        <w:t>okolicznościami wskazanymi w pkt (i) i (ii) - nie znajdzie w praktyce zastosowania, o ile sam kredytobiorca nie zrezygnuje z alternatywnych, wynikających z umowy, metod ustalenia kursu waluty oraz zasad spłaty kredytu, a także czy dla oceny abuzywności postanowień umownych znaczenie ma fakt zawarcia postanowień dotyczących negocjowania kursu w odrębnym technicznie dokumencie umowy powiązanej z umową podlegającą ocenie, która to umowa współkształtuje całościowy stosunek prawny pomiędzy bankiem a klientem</w:t>
      </w:r>
      <w:r w:rsidRPr="00A5552F">
        <w:rPr>
          <w:i/>
        </w:rPr>
        <w:t>.</w:t>
      </w:r>
    </w:p>
    <w:p w:rsidR="00A5552F" w:rsidRDefault="00A5552F" w:rsidP="001E1F60">
      <w:pPr>
        <w:ind w:left="720"/>
        <w:jc w:val="both"/>
      </w:pPr>
    </w:p>
    <w:p w:rsidR="0010632A" w:rsidRDefault="0010632A" w:rsidP="00A5552F">
      <w:pPr>
        <w:ind w:left="567"/>
        <w:jc w:val="both"/>
      </w:pPr>
      <w:r>
        <w:t xml:space="preserve">Sygn. akt I CSK 3351/22 POSTANOWIENIE Dnia 15 września 2022 r. </w:t>
      </w:r>
    </w:p>
    <w:p w:rsidR="00642B92" w:rsidRDefault="00642B92" w:rsidP="001E1F60">
      <w:pPr>
        <w:ind w:left="720"/>
        <w:jc w:val="both"/>
      </w:pPr>
    </w:p>
    <w:p w:rsidR="00A5552F" w:rsidRPr="00A5552F" w:rsidRDefault="00A5552F" w:rsidP="00A5552F">
      <w:pPr>
        <w:pStyle w:val="Akapitzlist"/>
        <w:numPr>
          <w:ilvl w:val="0"/>
          <w:numId w:val="43"/>
        </w:numPr>
        <w:ind w:left="567" w:hanging="567"/>
        <w:jc w:val="both"/>
        <w:rPr>
          <w:i/>
        </w:rPr>
      </w:pPr>
      <w:r>
        <w:rPr>
          <w:i/>
        </w:rPr>
        <w:t>C</w:t>
      </w:r>
      <w:r w:rsidR="00642B92" w:rsidRPr="00A5552F">
        <w:rPr>
          <w:i/>
        </w:rPr>
        <w:t>zy możliwa jest ocena dalszego wykonywania umowy, po stwierdzeniu w jej treści postanowień abuzywnych, w przypadku umowy kredytu, któ</w:t>
      </w:r>
      <w:r>
        <w:rPr>
          <w:i/>
        </w:rPr>
        <w:t>ra została w całości wykonana i </w:t>
      </w:r>
      <w:r w:rsidR="00642B92" w:rsidRPr="00A5552F">
        <w:rPr>
          <w:i/>
        </w:rPr>
        <w:t>uległa rozwiązaniu przed datą rozstrzygania sporu, a tym samym czy dopuszczalne jest jej unieważnienie (stwierdzenie nieważności) w następstwie ustalenia w jej treści postanowień niedozwolonych, a jeśli tak to jakie znaczenie należy nadać wymogowi złożenia przez kredytobiorcę oświadczenia w przedmiocie zgody na dalsze trwanie umowy, skoro w dacie wyrażania takiej zgody umowa już nie obowiązuje.</w:t>
      </w:r>
    </w:p>
    <w:p w:rsidR="00642B92" w:rsidRDefault="00642B92" w:rsidP="00A5552F">
      <w:pPr>
        <w:pStyle w:val="Akapitzlist"/>
        <w:ind w:left="567" w:hanging="141"/>
        <w:jc w:val="both"/>
      </w:pPr>
      <w:r>
        <w:br/>
      </w:r>
      <w:r>
        <w:t xml:space="preserve">Sygn. akt I CSK 2326/22 POSTANOWIENIE Dnia 15 czerwca 2022 r. </w:t>
      </w:r>
    </w:p>
    <w:p w:rsidR="00421645" w:rsidRDefault="00421645" w:rsidP="001E1F60">
      <w:pPr>
        <w:jc w:val="both"/>
      </w:pPr>
    </w:p>
    <w:p w:rsidR="003F68A7" w:rsidRDefault="003F68A7" w:rsidP="001E1F60">
      <w:pPr>
        <w:pStyle w:val="Nagwek1"/>
      </w:pPr>
      <w:r>
        <w:lastRenderedPageBreak/>
        <w:t>Cele dyrektywy, zasada proporcjonalności i trwałości umów, surowość sankcji</w:t>
      </w:r>
    </w:p>
    <w:p w:rsidR="007079E8" w:rsidRDefault="007079E8" w:rsidP="001E1F60">
      <w:pPr>
        <w:jc w:val="both"/>
      </w:pPr>
    </w:p>
    <w:p w:rsidR="00A5552F" w:rsidRPr="00A5552F" w:rsidRDefault="0096390C" w:rsidP="00A5552F">
      <w:pPr>
        <w:pStyle w:val="Akapitzlist"/>
        <w:numPr>
          <w:ilvl w:val="0"/>
          <w:numId w:val="44"/>
        </w:numPr>
        <w:ind w:left="567" w:hanging="567"/>
        <w:jc w:val="both"/>
        <w:rPr>
          <w:i/>
        </w:rPr>
      </w:pPr>
      <w:r w:rsidRPr="00A5552F">
        <w:rPr>
          <w:i/>
        </w:rPr>
        <w:t>Czy z punktu widzenia celów art. 3851 oraz art. 3852 k.c. oraz celów dyrektywy 93/13 prymat przyznać należy celowi w postaci przywrócenia równowagi kontraktowanej, czy też sankcyjnemu charakterowi przepisów dotyczących ochrony konsumenckiej oznaczającemu osiągnięcie skutku zniechęcającego profesjonalnych kontrahentów, zawierających umowy z konsumentami do stosowania nieuczciwych postanowień umownych oraz czy realizacja celu sankcyjnego co do zasady oznaczać musi zawsze uznanie umowy za nieważną?</w:t>
      </w:r>
    </w:p>
    <w:p w:rsidR="0096390C" w:rsidRDefault="0096390C" w:rsidP="00A5552F">
      <w:pPr>
        <w:pStyle w:val="Akapitzlist"/>
        <w:ind w:left="567"/>
        <w:jc w:val="both"/>
      </w:pPr>
      <w:r>
        <w:br/>
      </w:r>
      <w:r>
        <w:t>Sygn. akt I CSK 2459/22 POSTANOWIENIE Dnia 25 maja 2022 r.</w:t>
      </w:r>
    </w:p>
    <w:p w:rsidR="00A5552F" w:rsidRDefault="00A5552F" w:rsidP="00A5552F">
      <w:pPr>
        <w:pStyle w:val="Akapitzlist"/>
        <w:ind w:left="567"/>
        <w:jc w:val="both"/>
      </w:pPr>
    </w:p>
    <w:p w:rsidR="00A5552F" w:rsidRPr="00A5552F" w:rsidRDefault="00A5552F" w:rsidP="00A5552F">
      <w:pPr>
        <w:pStyle w:val="Akapitzlist"/>
        <w:numPr>
          <w:ilvl w:val="0"/>
          <w:numId w:val="23"/>
        </w:numPr>
        <w:ind w:left="567" w:hanging="567"/>
        <w:jc w:val="both"/>
        <w:rPr>
          <w:i/>
        </w:rPr>
      </w:pPr>
      <w:r>
        <w:rPr>
          <w:i/>
        </w:rPr>
        <w:t>C</w:t>
      </w:r>
      <w:r w:rsidR="00642B92" w:rsidRPr="00A5552F">
        <w:rPr>
          <w:i/>
        </w:rPr>
        <w:t>zy w przypadku uznania przez sąd rozpoznający sprawę, że postanowienia umowy o kredyt denominowany w walucie obcej normujące klauzulę odsyłającą do kursu z Tabeli Banku mają charakter niedozwolony, sąd ten będzie uprawniony do unieważnienia umowy kredytu dopiero w przypadku, jeżeli nie da się w inny sposób utrzymać umowy w mocy przywracając równowagę kontraktową stron i w efekcie uczynić sankcję dla przedsiębiorcy proporcjonalną;</w:t>
      </w:r>
      <w:r w:rsidR="00642B92" w:rsidRPr="00A5552F">
        <w:rPr>
          <w:i/>
        </w:rPr>
        <w:br/>
      </w:r>
    </w:p>
    <w:p w:rsidR="00642B92" w:rsidRDefault="00642B92" w:rsidP="00A5552F">
      <w:pPr>
        <w:pStyle w:val="Akapitzlist"/>
        <w:ind w:hanging="153"/>
        <w:jc w:val="both"/>
      </w:pPr>
      <w:r>
        <w:t xml:space="preserve">Sygn. akt I CSK 2333/22 POSTANOWIENIE Dnia 15 czerwca 2022 r. </w:t>
      </w:r>
    </w:p>
    <w:p w:rsidR="00A5552F" w:rsidRDefault="00A5552F" w:rsidP="00A5552F">
      <w:pPr>
        <w:pStyle w:val="Akapitzlist"/>
        <w:jc w:val="both"/>
      </w:pPr>
    </w:p>
    <w:p w:rsidR="007079E8" w:rsidRPr="00A5552F" w:rsidRDefault="007079E8" w:rsidP="00A5552F">
      <w:pPr>
        <w:pStyle w:val="Akapitzlist"/>
        <w:numPr>
          <w:ilvl w:val="0"/>
          <w:numId w:val="23"/>
        </w:numPr>
        <w:ind w:left="567" w:hanging="567"/>
        <w:jc w:val="both"/>
        <w:rPr>
          <w:i/>
        </w:rPr>
      </w:pPr>
      <w:r w:rsidRPr="00A5552F">
        <w:rPr>
          <w:i/>
        </w:rPr>
        <w:t xml:space="preserve">Czy sankcja nieważności zastosowana przez sąd w sytuacji, w której zarzut pod adresem banku dotyczy w praktyce technicznej kwestii spreadu, pozostaje w zgodzie z celami dyrektywy 93/13 oraz orzecznictwem TSUE, w szczególności z zasadą proporcjonalności i zasadą trwałości umów? </w:t>
      </w:r>
    </w:p>
    <w:p w:rsidR="007079E8" w:rsidRDefault="007079E8" w:rsidP="001E1F60">
      <w:pPr>
        <w:pStyle w:val="Akapitzlist"/>
        <w:jc w:val="both"/>
      </w:pPr>
    </w:p>
    <w:p w:rsidR="007079E8" w:rsidRDefault="007079E8" w:rsidP="00A5552F">
      <w:pPr>
        <w:ind w:firstLine="567"/>
        <w:jc w:val="both"/>
      </w:pPr>
      <w:r>
        <w:t>I CSK 3604/22 POSTANOWIENIE Dnia 31 sierpnia 2022 r. SSN Marcin Łochowski</w:t>
      </w:r>
    </w:p>
    <w:p w:rsidR="007079E8" w:rsidRDefault="007079E8" w:rsidP="001E1F60">
      <w:pPr>
        <w:jc w:val="both"/>
      </w:pPr>
    </w:p>
    <w:p w:rsidR="007079E8" w:rsidRPr="00A5552F" w:rsidRDefault="007079E8" w:rsidP="00A5552F">
      <w:pPr>
        <w:pStyle w:val="Akapitzlist"/>
        <w:numPr>
          <w:ilvl w:val="0"/>
          <w:numId w:val="23"/>
        </w:numPr>
        <w:ind w:left="567" w:hanging="567"/>
        <w:jc w:val="both"/>
        <w:rPr>
          <w:i/>
        </w:rPr>
      </w:pPr>
      <w:r w:rsidRPr="00A5552F">
        <w:rPr>
          <w:i/>
        </w:rPr>
        <w:t>Jak dotkliwa powinna być represyjna (odstraszająca) funkcja orzeczenia w sytuacji stwierdzenia w konkretnym przypadku, że (a) z uwagi na np. wykształcenie, historię kredytową oraz podpisane ostrzeżenia banku kredytobiorcy byli w dacie zawierania u</w:t>
      </w:r>
      <w:r w:rsidR="00A5552F">
        <w:rPr>
          <w:i/>
        </w:rPr>
        <w:t>mowy prawidłowo poinformowani o </w:t>
      </w:r>
      <w:r w:rsidRPr="00A5552F">
        <w:rPr>
          <w:i/>
        </w:rPr>
        <w:t xml:space="preserve">ryzyku kredytowym albo/oraz (b) analogiczny kredyt </w:t>
      </w:r>
      <w:r w:rsidR="00A5552F">
        <w:rPr>
          <w:i/>
        </w:rPr>
        <w:t>pozbawiony ryzyka walutowego (i </w:t>
      </w:r>
      <w:r w:rsidRPr="00A5552F">
        <w:rPr>
          <w:i/>
        </w:rPr>
        <w:t>kwestionowanych klauzul) był dla kredytob</w:t>
      </w:r>
      <w:r w:rsidR="00A5552F" w:rsidRPr="00A5552F">
        <w:rPr>
          <w:i/>
        </w:rPr>
        <w:t>iorców finansowo niekorzystny w </w:t>
      </w:r>
      <w:r w:rsidR="00A5552F">
        <w:rPr>
          <w:i/>
        </w:rPr>
        <w:t>porównaniu z </w:t>
      </w:r>
      <w:r w:rsidRPr="00A5552F">
        <w:rPr>
          <w:i/>
        </w:rPr>
        <w:t>kredytem złotowym albo/oraz (c) saldo kredytu w CHE okazało się niższe niż w dacie możliwej wiedzy o wysokości kursu – dacie zawierania u</w:t>
      </w:r>
      <w:r w:rsidR="00A5552F" w:rsidRPr="00A5552F">
        <w:rPr>
          <w:i/>
        </w:rPr>
        <w:t>mowy kredytu (kurs kupna) i </w:t>
      </w:r>
      <w:r w:rsidRPr="00A5552F">
        <w:rPr>
          <w:i/>
        </w:rPr>
        <w:t xml:space="preserve">w sytuacji spłat bezpośrednich w CHF (kurs sprzedaży) albo/oraz (d) w trakcie trwania umowy kredytobiorcy </w:t>
      </w:r>
      <w:r w:rsidRPr="00A5552F">
        <w:rPr>
          <w:i/>
        </w:rPr>
        <w:lastRenderedPageBreak/>
        <w:t>potwierdzili akceptację szczegółowych zasad ustalania kursów w banku (np. aneksem) lub rezygnacją z odniesienia do kursów w banku?</w:t>
      </w:r>
    </w:p>
    <w:p w:rsidR="007079E8" w:rsidRDefault="007079E8" w:rsidP="001E1F60">
      <w:pPr>
        <w:pStyle w:val="Akapitzlist"/>
        <w:jc w:val="both"/>
      </w:pPr>
    </w:p>
    <w:p w:rsidR="007079E8" w:rsidRDefault="007079E8" w:rsidP="00A5552F">
      <w:pPr>
        <w:pStyle w:val="Akapitzlist"/>
        <w:ind w:hanging="153"/>
        <w:jc w:val="both"/>
      </w:pPr>
      <w:r>
        <w:t>I CSK 3604/22 POSTANOWIENIE Dnia 31 sierpnia 2022 r. SSN Marcin Łochowski</w:t>
      </w:r>
    </w:p>
    <w:p w:rsidR="00421645" w:rsidRDefault="00421645" w:rsidP="001E1F60">
      <w:pPr>
        <w:pStyle w:val="Akapitzlist"/>
        <w:jc w:val="both"/>
      </w:pPr>
    </w:p>
    <w:p w:rsidR="00421645" w:rsidRDefault="003F68A7" w:rsidP="001E1F60">
      <w:pPr>
        <w:pStyle w:val="Nagwek1"/>
      </w:pPr>
      <w:r>
        <w:t>Podział na klauzulę ryzyka walutowego (główny przedmiot umowy) i klauzulę ryzyka walutowego</w:t>
      </w:r>
    </w:p>
    <w:p w:rsidR="003F68A7" w:rsidRDefault="003F68A7" w:rsidP="001E1F60">
      <w:pPr>
        <w:jc w:val="both"/>
      </w:pPr>
    </w:p>
    <w:p w:rsidR="003F68A7" w:rsidRDefault="00A5552F" w:rsidP="00A5552F">
      <w:pPr>
        <w:pStyle w:val="Akapitzlist"/>
        <w:numPr>
          <w:ilvl w:val="0"/>
          <w:numId w:val="23"/>
        </w:numPr>
        <w:ind w:left="567" w:hanging="567"/>
        <w:jc w:val="both"/>
        <w:rPr>
          <w:i/>
        </w:rPr>
      </w:pPr>
      <w:r w:rsidRPr="00A5552F">
        <w:rPr>
          <w:i/>
        </w:rPr>
        <w:t>C</w:t>
      </w:r>
      <w:r w:rsidR="003F68A7" w:rsidRPr="00A5552F">
        <w:rPr>
          <w:i/>
        </w:rPr>
        <w:t>zy w przypadku uznania w wyniku kontroli incydentalnej obecnych w umowie o kredyt indeksowany kursem waluty obcej klauzul spreadowych nieokreślających głównego przedmiotu umowy, za niedozwolone (nieuczciwe) warunki umowne, prawidłowym jest przyjęcie nieważności całej umowy, skoro klauzule ryzyka walutowego, określające – zgodnie z jednolitym orzecznictwem TSUE – główny przedmiot tej umowy, nie stanowią niedozwolonych (ni</w:t>
      </w:r>
      <w:r w:rsidRPr="00A5552F">
        <w:rPr>
          <w:i/>
        </w:rPr>
        <w:t>euczciwych) warunków umownych?</w:t>
      </w:r>
    </w:p>
    <w:p w:rsidR="00A5552F" w:rsidRPr="00A5552F" w:rsidRDefault="00A5552F" w:rsidP="00A5552F">
      <w:pPr>
        <w:pStyle w:val="Akapitzlist"/>
        <w:ind w:left="567"/>
        <w:jc w:val="both"/>
        <w:rPr>
          <w:i/>
        </w:rPr>
      </w:pPr>
    </w:p>
    <w:p w:rsidR="003F68A7" w:rsidRDefault="00D66667" w:rsidP="00A5552F">
      <w:pPr>
        <w:ind w:firstLine="567"/>
        <w:jc w:val="both"/>
      </w:pPr>
      <w:r>
        <w:t xml:space="preserve">Sygn. akt I CSK 2538/22 POSTANOWIENIE Dnia 23 czerwca 2022 r. </w:t>
      </w:r>
    </w:p>
    <w:p w:rsidR="003F68A7" w:rsidRDefault="003F68A7" w:rsidP="00A5552F">
      <w:pPr>
        <w:ind w:firstLine="567"/>
        <w:jc w:val="both"/>
      </w:pPr>
      <w:r>
        <w:t>Sygn. akt I CSK 3732/22 POSTANOWIENIE Dnia 22 sierpnia 2022 r</w:t>
      </w:r>
    </w:p>
    <w:p w:rsidR="0010632A" w:rsidRDefault="0010632A" w:rsidP="00A5552F">
      <w:pPr>
        <w:ind w:firstLine="567"/>
        <w:jc w:val="both"/>
      </w:pPr>
      <w:r>
        <w:t xml:space="preserve">Sygn. akt I CSK 1669/22 POSTANOWIENIE Dnia 23 sierpnia 2022 r. </w:t>
      </w:r>
    </w:p>
    <w:p w:rsidR="00486A95" w:rsidRDefault="00486A95" w:rsidP="001E1F60">
      <w:pPr>
        <w:jc w:val="both"/>
      </w:pPr>
    </w:p>
    <w:p w:rsidR="00486A95" w:rsidRPr="00A5552F" w:rsidRDefault="00486A95" w:rsidP="00A5552F">
      <w:pPr>
        <w:pStyle w:val="Akapitzlist"/>
        <w:numPr>
          <w:ilvl w:val="0"/>
          <w:numId w:val="23"/>
        </w:numPr>
        <w:ind w:left="567" w:hanging="567"/>
        <w:jc w:val="both"/>
        <w:rPr>
          <w:i/>
        </w:rPr>
      </w:pPr>
      <w:r w:rsidRPr="00A5552F">
        <w:rPr>
          <w:i/>
        </w:rPr>
        <w:t>Czy w świetle art. 385 1 k.c. oraz art. 3852 k.c. poprzez pojęcie „postanowienie umowy”, które ma być poddane ocenie pod kątem ewentualnego niezwiązania konsumenta jego treścią, należy rozumieć jednostkę redakcyjną umowy, niezależnie od tego, czy w danej jednostce redakcyjnej ujęto więcej niż jeden warunek umowny,</w:t>
      </w:r>
      <w:r w:rsidR="00A5552F">
        <w:rPr>
          <w:i/>
        </w:rPr>
        <w:t xml:space="preserve"> </w:t>
      </w:r>
      <w:r w:rsidRPr="00A5552F">
        <w:rPr>
          <w:i/>
        </w:rPr>
        <w:t>dotyczący praw bądź obowiązków strony i w razie uznania danego warunku za niedozwolony, powoduje to bezskuteczność całej jednostki redakcyjnej,</w:t>
      </w:r>
      <w:r w:rsidR="00A5552F">
        <w:rPr>
          <w:i/>
        </w:rPr>
        <w:t xml:space="preserve"> </w:t>
      </w:r>
      <w:r w:rsidRPr="00A5552F">
        <w:rPr>
          <w:i/>
        </w:rPr>
        <w:t>w której warunek ten się zawiera, czy też raczej „postanowienie umowy” należy rozumieć jako treść normatywną, stanowiącą o pra</w:t>
      </w:r>
      <w:r w:rsidR="00A5552F">
        <w:rPr>
          <w:i/>
        </w:rPr>
        <w:t>wach bądź obowiązkach strony, a </w:t>
      </w:r>
      <w:r w:rsidRPr="00A5552F">
        <w:rPr>
          <w:i/>
        </w:rPr>
        <w:t>stwierdzenie bezskuteczności w stosunku do konsumenta postanowienia, rozumianego jako określona treść normatywna, nie prowadzi do bezskuteczności jednostki redakcyjnej, w której warunek ten ujęto, a wyłącznie do bezskuteczności względem konsumenta zakwestionowanej treści normatywnej.</w:t>
      </w:r>
    </w:p>
    <w:p w:rsidR="00A5552F" w:rsidRDefault="00A5552F" w:rsidP="001E1F60">
      <w:pPr>
        <w:jc w:val="both"/>
      </w:pPr>
    </w:p>
    <w:p w:rsidR="00486A95" w:rsidRDefault="00486A95" w:rsidP="00A5552F">
      <w:pPr>
        <w:ind w:firstLine="567"/>
        <w:jc w:val="both"/>
      </w:pPr>
      <w:r>
        <w:t>Sygn. akt I CSK 2380/22 POSTANOWIENIE Dnia 9 sierpnia 2022 r.</w:t>
      </w:r>
    </w:p>
    <w:p w:rsidR="003F68A7" w:rsidRDefault="003F68A7" w:rsidP="001E1F60">
      <w:pPr>
        <w:jc w:val="both"/>
      </w:pPr>
    </w:p>
    <w:p w:rsidR="003F68A7" w:rsidRDefault="003F68A7" w:rsidP="001E1F60">
      <w:pPr>
        <w:pStyle w:val="Nagwek1"/>
      </w:pPr>
      <w:r>
        <w:lastRenderedPageBreak/>
        <w:t>Możliwość spłaty kredytu w CHF</w:t>
      </w:r>
    </w:p>
    <w:p w:rsidR="00A5552F" w:rsidRPr="00A5552F" w:rsidRDefault="00A5552F" w:rsidP="00A5552F">
      <w:pPr>
        <w:rPr>
          <w:lang w:eastAsia="zh-CN" w:bidi="hi-IN"/>
        </w:rPr>
      </w:pPr>
    </w:p>
    <w:p w:rsidR="00A5552F" w:rsidRPr="00A5552F" w:rsidRDefault="00A5552F" w:rsidP="00A5552F">
      <w:pPr>
        <w:pStyle w:val="Akapitzlist"/>
        <w:numPr>
          <w:ilvl w:val="0"/>
          <w:numId w:val="23"/>
        </w:numPr>
        <w:ind w:left="567" w:hanging="567"/>
        <w:jc w:val="both"/>
        <w:rPr>
          <w:i/>
        </w:rPr>
      </w:pPr>
      <w:r w:rsidRPr="00A5552F">
        <w:rPr>
          <w:i/>
        </w:rPr>
        <w:t>C</w:t>
      </w:r>
      <w:r w:rsidR="00D66667" w:rsidRPr="00A5552F">
        <w:rPr>
          <w:i/>
        </w:rPr>
        <w:t>zy w przypadku wyboru przez kredytobiorcę zaciągającego kredyt denominowany w walucie obcej sposobu spłaty kredytu z kilku dostępnych sposobów (spł</w:t>
      </w:r>
      <w:r w:rsidRPr="00A5552F">
        <w:rPr>
          <w:i/>
        </w:rPr>
        <w:t>ata w walucie polskiej, spłata</w:t>
      </w:r>
      <w:r w:rsidR="00D66667" w:rsidRPr="00A5552F">
        <w:rPr>
          <w:i/>
        </w:rPr>
        <w:t xml:space="preserve"> bezpośrednio w walucie denominacji) postanowienia umowy regulujące wybrany przez kredytobiorcę sposób spłaty należy oceniać jako indywidualnie uzgodnione.</w:t>
      </w:r>
    </w:p>
    <w:p w:rsidR="00D66667" w:rsidRDefault="00D66667" w:rsidP="00A5552F">
      <w:pPr>
        <w:pStyle w:val="Akapitzlist"/>
        <w:ind w:left="567"/>
      </w:pPr>
      <w:r>
        <w:br/>
      </w:r>
      <w:r>
        <w:t>Sygn. akt I CSK 2953/22 POSTAN</w:t>
      </w:r>
      <w:r w:rsidR="00A5552F">
        <w:t>OWIENIE Dnia 22 czerwca 2022 r.</w:t>
      </w:r>
      <w:r>
        <w:br/>
      </w:r>
    </w:p>
    <w:p w:rsidR="003F68A7" w:rsidRDefault="00A5552F" w:rsidP="00A5552F">
      <w:pPr>
        <w:pStyle w:val="Akapitzlist"/>
        <w:numPr>
          <w:ilvl w:val="0"/>
          <w:numId w:val="23"/>
        </w:numPr>
        <w:ind w:left="567" w:hanging="567"/>
        <w:jc w:val="both"/>
        <w:rPr>
          <w:i/>
        </w:rPr>
      </w:pPr>
      <w:r w:rsidRPr="00A5552F">
        <w:rPr>
          <w:i/>
        </w:rPr>
        <w:t>C</w:t>
      </w:r>
      <w:r w:rsidR="003F68A7" w:rsidRPr="00A5552F">
        <w:rPr>
          <w:i/>
        </w:rPr>
        <w:t>zy wobec umożliwienia kredytobiorcom posiadającym kredyty denominowane lub indeksowane do waluty innej niż waluta polska dokonywania spłaty r</w:t>
      </w:r>
      <w:r w:rsidR="007B1C7D">
        <w:rPr>
          <w:i/>
        </w:rPr>
        <w:t>at kapitałowo-odsetkowych oraz</w:t>
      </w:r>
      <w:r w:rsidR="003F68A7" w:rsidRPr="00A5552F">
        <w:rPr>
          <w:i/>
        </w:rPr>
        <w:t xml:space="preserve"> dokonania przedterminowej spłaty pełnej lub częściowej kwoty kredytu bezpośrednio w tej walucie na podstawie wyżej powołanego art. 69 ust. 3 ustawy z dnia 29 sierpnia 1997 r. – Prawo bankowe (t.j. Dz.U. z 2021 r., poz. 2439 ze zm.; dalej: pr. bank.), wziąwszy pod uwagę aksjomat racjonalności krajowego ustawodawcy, uzasadnione jest przyjęcie, że kredyty denominowane lub indeksowane do waluty innej niż waluta polska są kredytami udzielonymi w złotych polskich, skoro dokonanie przez kredytobiorcę spłaty raty kapitałowo-odsetkowej albo dokonanie przedterminowej spłaty pełnej lub częściowej kwoty kredytu bezpośrednio w walucie, do której denominowany lub indeksowany jest kredyt, prowadzi do skutecznego spełnienia świadczenia wynikającego ze stosunku zobowiązaniowego w postaci umowy kredytu oraz zaspokojenia wierzyciela w osobie kredytodawcy, bez konieczności dokonywania jakichkolwiek przeliczeń bądź innych operacji walutowych wpłacanych przez kredytobiorcę środków w walucie innej, niż waluta krajowa.</w:t>
      </w:r>
    </w:p>
    <w:p w:rsidR="00A5552F" w:rsidRPr="00A5552F" w:rsidRDefault="00A5552F" w:rsidP="00A5552F">
      <w:pPr>
        <w:pStyle w:val="Akapitzlist"/>
        <w:jc w:val="both"/>
        <w:rPr>
          <w:i/>
        </w:rPr>
      </w:pPr>
    </w:p>
    <w:p w:rsidR="00A5552F" w:rsidRDefault="00D66667" w:rsidP="00A5552F">
      <w:pPr>
        <w:ind w:firstLine="567"/>
        <w:jc w:val="both"/>
      </w:pPr>
      <w:r>
        <w:t xml:space="preserve">Sygn. akt I CSK 2538/22 POSTANOWIENIE Dnia 23 czerwca 2022 r. </w:t>
      </w:r>
    </w:p>
    <w:p w:rsidR="003F68A7" w:rsidRDefault="003F68A7" w:rsidP="00A5552F">
      <w:pPr>
        <w:ind w:firstLine="567"/>
        <w:jc w:val="both"/>
      </w:pPr>
      <w:r>
        <w:t>Sygn. akt I CSK 3732/22 POSTANOWIENIE Dnia 22 sierpnia 2022 r.</w:t>
      </w:r>
    </w:p>
    <w:p w:rsidR="003F68A7" w:rsidRDefault="0009738E" w:rsidP="00A5552F">
      <w:pPr>
        <w:ind w:firstLine="567"/>
        <w:jc w:val="both"/>
      </w:pPr>
      <w:r>
        <w:t xml:space="preserve">Sygn. akt I CSK 2454/22 POSTANOWIENIE Dnia 14 lipca 2022 r. </w:t>
      </w:r>
    </w:p>
    <w:p w:rsidR="00A5552F" w:rsidRDefault="00A5552F" w:rsidP="001E1F60">
      <w:pPr>
        <w:jc w:val="both"/>
      </w:pPr>
    </w:p>
    <w:p w:rsidR="003F68A7" w:rsidRPr="00A5552F" w:rsidRDefault="003F68A7" w:rsidP="00A5552F">
      <w:pPr>
        <w:pStyle w:val="Akapitzlist"/>
        <w:numPr>
          <w:ilvl w:val="0"/>
          <w:numId w:val="23"/>
        </w:numPr>
        <w:ind w:left="567" w:hanging="567"/>
        <w:jc w:val="both"/>
        <w:rPr>
          <w:i/>
        </w:rPr>
      </w:pPr>
      <w:r w:rsidRPr="00A5552F">
        <w:rPr>
          <w:i/>
        </w:rPr>
        <w:t>Czy można poddawać ocenie, w świetle art. 3851 k.c. oraz art. 3852 k.c., treść postanowienia, którego stosowanie zależało wyłącznie od woli konsumenta w relacji z przedsiębiorcą czy też ocenie, w świetle art. 3851 k.c. oraz art. 3852 k.c., podlegają tylko te postanowienia, które wiążą konsumenta bezwzględnie i niezależnie od jego wyboru i na których stosowanie nie ma wpływu;</w:t>
      </w:r>
    </w:p>
    <w:p w:rsidR="003F68A7" w:rsidRDefault="003F68A7" w:rsidP="001E1F60">
      <w:pPr>
        <w:jc w:val="both"/>
      </w:pPr>
    </w:p>
    <w:p w:rsidR="003F68A7" w:rsidRDefault="003F68A7" w:rsidP="00A5552F">
      <w:pPr>
        <w:ind w:firstLine="567"/>
        <w:jc w:val="both"/>
      </w:pPr>
      <w:r>
        <w:t>Sygn. akt I CSK 2380/22 POSTANOWIENIE Dnia 9 sierpnia 2022 r.</w:t>
      </w:r>
    </w:p>
    <w:p w:rsidR="00486A95" w:rsidRDefault="00486A95" w:rsidP="001E1F60">
      <w:pPr>
        <w:jc w:val="both"/>
      </w:pPr>
    </w:p>
    <w:p w:rsidR="00486A95" w:rsidRDefault="00486A95" w:rsidP="001E1F60">
      <w:pPr>
        <w:pStyle w:val="Nagwek1"/>
      </w:pPr>
      <w:r>
        <w:t>Odfrankowienie</w:t>
      </w:r>
    </w:p>
    <w:p w:rsidR="009F46AF" w:rsidRPr="009F46AF" w:rsidRDefault="009F46AF" w:rsidP="009F46AF">
      <w:pPr>
        <w:rPr>
          <w:lang w:eastAsia="zh-CN" w:bidi="hi-IN"/>
        </w:rPr>
      </w:pPr>
      <w:bookmarkStart w:id="0" w:name="_GoBack"/>
      <w:bookmarkEnd w:id="0"/>
    </w:p>
    <w:p w:rsidR="007B1C7D" w:rsidRPr="007B1C7D" w:rsidRDefault="0009738E" w:rsidP="007B1C7D">
      <w:pPr>
        <w:pStyle w:val="Akapitzlist"/>
        <w:numPr>
          <w:ilvl w:val="0"/>
          <w:numId w:val="23"/>
        </w:numPr>
        <w:ind w:left="567" w:hanging="567"/>
        <w:jc w:val="both"/>
        <w:rPr>
          <w:i/>
        </w:rPr>
      </w:pPr>
      <w:r w:rsidRPr="007B1C7D">
        <w:rPr>
          <w:i/>
        </w:rPr>
        <w:t>Czy w kontekście art. 3851 § 1 i 2 4 w zw. z art. 65 § 1 i 2 k.c. i w związku z postanowieniami umowy kredytu, w szczególności jej postanowieniami indeksacyjnymi oraz motywu 33 i art. 11 lit. a rozporządzenia Parlamentu Europejskiego oraz Rady UE 2016/1011 z dnia 8 czerwca 2016 r. w sprawie indeksów stosowanych jako wskaźniki referencyjne (BMR), jest możliwe określenie oprocentowania w stawce LIBOR właściwej dla kredytów w walucie obcej dla kredytu złotowego, czy też właściwym oprocentowaniem dla kredytu złotowego jest stawka WIBOR?</w:t>
      </w:r>
    </w:p>
    <w:p w:rsidR="0009738E" w:rsidRDefault="0009738E" w:rsidP="007B1C7D">
      <w:pPr>
        <w:pStyle w:val="Akapitzlist"/>
        <w:ind w:left="567"/>
      </w:pPr>
      <w:r>
        <w:br/>
      </w:r>
      <w:r>
        <w:t>Sygn. akt I CSK 3636/22 POS</w:t>
      </w:r>
      <w:r w:rsidR="007B1C7D">
        <w:t>TANOWIENIE Dnia 6 lipca 2022 r.</w:t>
      </w:r>
      <w:r>
        <w:br/>
      </w:r>
    </w:p>
    <w:p w:rsidR="00486A95" w:rsidRPr="007B1C7D" w:rsidRDefault="00486A95" w:rsidP="007B1C7D">
      <w:pPr>
        <w:pStyle w:val="Akapitzlist"/>
        <w:numPr>
          <w:ilvl w:val="0"/>
          <w:numId w:val="23"/>
        </w:numPr>
        <w:ind w:left="567" w:hanging="567"/>
        <w:jc w:val="both"/>
        <w:rPr>
          <w:i/>
        </w:rPr>
      </w:pPr>
      <w:r w:rsidRPr="007B1C7D">
        <w:rPr>
          <w:i/>
        </w:rPr>
        <w:t>Czy w świetle art. 411 pkt 4 k.c. po stwierdzeniu przez Sąd niedozwolonego charakteru postanowienia umownego dotyczącego spłaty rat kredytu z zastosowaniem przeliczenia według kursu waluty z tabeli kursowej banku (tutaj § 10 ust. 4 / § 10 ust. 5), przy jednoczesnej ocenie umowy kredytu jako ważnej i wiążącej strony w pozosta</w:t>
      </w:r>
      <w:r w:rsidR="007B1C7D" w:rsidRPr="007B1C7D">
        <w:rPr>
          <w:i/>
        </w:rPr>
        <w:t xml:space="preserve">łym zakresie, uzasadnione jest </w:t>
      </w:r>
      <w:r w:rsidRPr="007B1C7D">
        <w:rPr>
          <w:i/>
        </w:rPr>
        <w:t xml:space="preserve"> zasądzenie na rzecz konsumenta - kredytobiorcy kwoty nienależnego świadczenia obliczonej jako różnica pomiędzy wysokością dotychczas uiszczonych rat, a wysokością rat obliczonych bez zastosowania mechanizmu waloryzacji, czy też raczej roszczenie o zapłatę winno ulec oddaleniu, a nadpłata kredytobiorcy powinna być rozliczona na poczet niespłaconego kapitału kredytu?</w:t>
      </w:r>
    </w:p>
    <w:p w:rsidR="007B1C7D" w:rsidRDefault="007B1C7D" w:rsidP="007B1C7D">
      <w:pPr>
        <w:pStyle w:val="Akapitzlist"/>
        <w:ind w:left="567"/>
        <w:jc w:val="both"/>
      </w:pPr>
    </w:p>
    <w:p w:rsidR="00486A95" w:rsidRDefault="00486A95" w:rsidP="007B1C7D">
      <w:pPr>
        <w:ind w:firstLine="567"/>
        <w:jc w:val="both"/>
      </w:pPr>
      <w:r>
        <w:t>Sygn. akt I CSK 2380/22 POSTANOWIENIE Dnia 9 sierpnia 2022 r.</w:t>
      </w:r>
    </w:p>
    <w:p w:rsidR="00EA51E2" w:rsidRDefault="00EA51E2" w:rsidP="001E1F60">
      <w:pPr>
        <w:jc w:val="both"/>
      </w:pPr>
    </w:p>
    <w:p w:rsidR="00EA51E2" w:rsidRDefault="00EA51E2" w:rsidP="001E1F60">
      <w:pPr>
        <w:pStyle w:val="Nagwek1"/>
      </w:pPr>
      <w:r>
        <w:t>Procedura</w:t>
      </w:r>
    </w:p>
    <w:p w:rsidR="007B1C7D" w:rsidRPr="007B1C7D" w:rsidRDefault="007B1C7D" w:rsidP="007B1C7D">
      <w:pPr>
        <w:rPr>
          <w:lang w:eastAsia="zh-CN" w:bidi="hi-IN"/>
        </w:rPr>
      </w:pPr>
    </w:p>
    <w:p w:rsidR="00EA51E2" w:rsidRPr="007B1C7D" w:rsidRDefault="00EA51E2" w:rsidP="007B1C7D">
      <w:pPr>
        <w:pStyle w:val="Akapitzlist"/>
        <w:numPr>
          <w:ilvl w:val="0"/>
          <w:numId w:val="23"/>
        </w:numPr>
        <w:ind w:left="567" w:hanging="567"/>
        <w:jc w:val="both"/>
        <w:rPr>
          <w:i/>
          <w:lang w:eastAsia="zh-CN" w:bidi="hi-IN"/>
        </w:rPr>
      </w:pPr>
      <w:r w:rsidRPr="007B1C7D">
        <w:rPr>
          <w:i/>
          <w:lang w:eastAsia="zh-CN" w:bidi="hi-IN"/>
        </w:rPr>
        <w:t>Czy przyjęcie przez Sąd I instancji odmiennych ustaleń w zakresie podstawy prawnej zasądzonego świadczenia (stwierdzenie nieważności Umowy kredytu indeksowanego kursem CHF) niż te, które zostały zgłoszone w ramach pozwu (częściowa bezskuteczność Umowy kredytu indeksowanego kursem CHF z jednoczesną możliwością jej dalszego wykonywania) przy braku formalnego zgłoszenia przez powoda roszczenia o zapłatę wywodzonego w oparciu o nieważność umowy kredytu indeksowanego kursem CHF, stanowi orzeczenie ponad żądanie strony w rozumieniu art. 321 k.p.c.?</w:t>
      </w:r>
    </w:p>
    <w:p w:rsidR="00EA51E2" w:rsidRDefault="00EA51E2" w:rsidP="007B1C7D">
      <w:pPr>
        <w:ind w:firstLine="567"/>
        <w:jc w:val="both"/>
      </w:pPr>
      <w:r>
        <w:t xml:space="preserve">Sygn. akt I CSK 2422/22 POSTANOWIENIE Dnia 20 września 2022 r. </w:t>
      </w:r>
    </w:p>
    <w:p w:rsidR="00EA51E2" w:rsidRDefault="00EA51E2" w:rsidP="001E1F60">
      <w:pPr>
        <w:jc w:val="both"/>
      </w:pPr>
    </w:p>
    <w:p w:rsidR="00EA51E2" w:rsidRPr="007B1C7D" w:rsidRDefault="007B1C7D" w:rsidP="007B1C7D">
      <w:pPr>
        <w:pStyle w:val="Akapitzlist"/>
        <w:numPr>
          <w:ilvl w:val="0"/>
          <w:numId w:val="23"/>
        </w:numPr>
        <w:ind w:left="567" w:hanging="567"/>
        <w:jc w:val="both"/>
        <w:rPr>
          <w:i/>
          <w:lang w:eastAsia="zh-CN" w:bidi="hi-IN"/>
        </w:rPr>
      </w:pPr>
      <w:r w:rsidRPr="007B1C7D">
        <w:rPr>
          <w:i/>
          <w:lang w:eastAsia="zh-CN" w:bidi="hi-IN"/>
        </w:rPr>
        <w:t>C</w:t>
      </w:r>
      <w:r w:rsidR="00EA51E2" w:rsidRPr="007B1C7D">
        <w:rPr>
          <w:i/>
          <w:lang w:eastAsia="zh-CN" w:bidi="hi-IN"/>
        </w:rPr>
        <w:t>zy w świetle art. 1561 k.p.c. w zw. z art. 3851 § 1 i 2 k.c. w zw. z art. 6 ust. 1 dyrektywy rady 93/13 z dnia 5 kwietnia 1993 r. w sprawie nieuczciwych warunków w umowac</w:t>
      </w:r>
      <w:r w:rsidRPr="007B1C7D">
        <w:rPr>
          <w:i/>
          <w:lang w:eastAsia="zh-CN" w:bidi="hi-IN"/>
        </w:rPr>
        <w:t>h konsumenckich (Dz.Urz. UE z </w:t>
      </w:r>
      <w:r w:rsidR="00EA51E2" w:rsidRPr="007B1C7D">
        <w:rPr>
          <w:i/>
          <w:lang w:eastAsia="zh-CN" w:bidi="hi-IN"/>
        </w:rPr>
        <w:t>1993 r. L 95, s. 29 ze zm., dalej: „dyrektywa 93/13”) wystarczające jest, z punktu widzenia obowiązków sądu określonych normą płynącą z wykładni art. 6 ust. 1 dyrektywy 93/13, poprzestanie przez sąd na przyjęciu, że powód - ko</w:t>
      </w:r>
      <w:r>
        <w:rPr>
          <w:i/>
          <w:lang w:eastAsia="zh-CN" w:bidi="hi-IN"/>
        </w:rPr>
        <w:t>nsument uzyskał wiadomości o </w:t>
      </w:r>
      <w:r w:rsidR="00EA51E2" w:rsidRPr="007B1C7D">
        <w:rPr>
          <w:i/>
          <w:lang w:eastAsia="zh-CN" w:bidi="hi-IN"/>
        </w:rPr>
        <w:t>prawdopodobnym wyniku sprawy w świetle zgłoszonych wcześniej twierdzeń i dowodów oraz o konse</w:t>
      </w:r>
      <w:r w:rsidRPr="007B1C7D">
        <w:rPr>
          <w:i/>
          <w:lang w:eastAsia="zh-CN" w:bidi="hi-IN"/>
        </w:rPr>
        <w:t xml:space="preserve">kwencjach dotyczących dalszego </w:t>
      </w:r>
      <w:r w:rsidR="00EA51E2" w:rsidRPr="007B1C7D">
        <w:rPr>
          <w:i/>
          <w:lang w:eastAsia="zh-CN" w:bidi="hi-IN"/>
        </w:rPr>
        <w:t xml:space="preserve"> obowiązywania umowy kredytu lub upadku spornej umowy, w tym ewentualnego wpływu tych okoliczności na s</w:t>
      </w:r>
      <w:r>
        <w:rPr>
          <w:i/>
          <w:lang w:eastAsia="zh-CN" w:bidi="hi-IN"/>
        </w:rPr>
        <w:t>ytuację konsumenta, w oparciu o </w:t>
      </w:r>
      <w:r w:rsidR="00EA51E2" w:rsidRPr="007B1C7D">
        <w:rPr>
          <w:i/>
          <w:lang w:eastAsia="zh-CN" w:bidi="hi-IN"/>
        </w:rPr>
        <w:t>sam przebieg dotychczasowego postępowania oraz, że wystarczającym dla przyjęcia, że konsument złożył, po uzyskaniu tych wiadomości, oświadczenie co do tego, czy wyraża wolę dalszego obowiązywania względem niego spornej umow</w:t>
      </w:r>
      <w:r w:rsidRPr="007B1C7D">
        <w:rPr>
          <w:i/>
          <w:lang w:eastAsia="zh-CN" w:bidi="hi-IN"/>
        </w:rPr>
        <w:t>y w całości albo o </w:t>
      </w:r>
      <w:r w:rsidR="00EA51E2" w:rsidRPr="007B1C7D">
        <w:rPr>
          <w:i/>
          <w:lang w:eastAsia="zh-CN" w:bidi="hi-IN"/>
        </w:rPr>
        <w:t>zgodzie na upadek umowy, jest fakt, że konsument nie wycofał do zamknięcia rozprawy (względnie daty wyrokowania) powództwa lub podniesionych zarzutów nieucz</w:t>
      </w:r>
      <w:r w:rsidRPr="007B1C7D">
        <w:rPr>
          <w:i/>
          <w:lang w:eastAsia="zh-CN" w:bidi="hi-IN"/>
        </w:rPr>
        <w:t>ciwości postanowień zawartych w </w:t>
      </w:r>
      <w:r w:rsidR="00EA51E2" w:rsidRPr="007B1C7D">
        <w:rPr>
          <w:i/>
          <w:lang w:eastAsia="zh-CN" w:bidi="hi-IN"/>
        </w:rPr>
        <w:t>tej umowie, czy też raczej w świetle ww. przepisów oraz jurysprudencji Trybunału Sprawiedliwości Unii Europejskiej wyrokowanie w przedmiocie abuzywnoś</w:t>
      </w:r>
      <w:r w:rsidRPr="007B1C7D">
        <w:rPr>
          <w:i/>
          <w:lang w:eastAsia="zh-CN" w:bidi="hi-IN"/>
        </w:rPr>
        <w:t>ci postanowień umowy zawartej z </w:t>
      </w:r>
      <w:r w:rsidR="00EA51E2" w:rsidRPr="007B1C7D">
        <w:rPr>
          <w:i/>
          <w:lang w:eastAsia="zh-CN" w:bidi="hi-IN"/>
        </w:rPr>
        <w:t>konsumentem w sytuacji, w której konsekwencją tej abuzywności może być upadek takiej umowy, jest możliwe dopiero wówczas, jeśli sąd pouczy powodakonsume</w:t>
      </w:r>
      <w:r>
        <w:rPr>
          <w:i/>
          <w:lang w:eastAsia="zh-CN" w:bidi="hi-IN"/>
        </w:rPr>
        <w:t>nta w </w:t>
      </w:r>
      <w:r w:rsidRPr="007B1C7D">
        <w:rPr>
          <w:i/>
          <w:lang w:eastAsia="zh-CN" w:bidi="hi-IN"/>
        </w:rPr>
        <w:t>trybie art. 1561 k.p.c. o </w:t>
      </w:r>
      <w:r w:rsidR="00EA51E2" w:rsidRPr="007B1C7D">
        <w:rPr>
          <w:i/>
          <w:lang w:eastAsia="zh-CN" w:bidi="hi-IN"/>
        </w:rPr>
        <w:t>prawdopodobnym wyniku sprawy w świetle zgłoszonych wcześ</w:t>
      </w:r>
      <w:r w:rsidRPr="007B1C7D">
        <w:rPr>
          <w:i/>
          <w:lang w:eastAsia="zh-CN" w:bidi="hi-IN"/>
        </w:rPr>
        <w:t>niej twierdzeń i dowodów oraz o </w:t>
      </w:r>
      <w:r w:rsidR="00EA51E2" w:rsidRPr="007B1C7D">
        <w:rPr>
          <w:i/>
          <w:lang w:eastAsia="zh-CN" w:bidi="hi-IN"/>
        </w:rPr>
        <w:t>konsekwencjach dotyczących dalszego obowiązywania umowy lub upadku spornej umowy, w tym ewentualnego wpływu tych okoliczności na sytuację konsumenta, a następnie odbierze od konsumenta wyraźne oświadczenie o woli dalszego obowiązywania względem niego spornej umowy w całości albo o zgodzie na upadek umowy</w:t>
      </w:r>
      <w:r w:rsidRPr="007B1C7D">
        <w:rPr>
          <w:i/>
          <w:lang w:eastAsia="zh-CN" w:bidi="hi-IN"/>
        </w:rPr>
        <w:t>.</w:t>
      </w:r>
    </w:p>
    <w:p w:rsidR="0010632A" w:rsidRDefault="0010632A" w:rsidP="001E1F60">
      <w:pPr>
        <w:jc w:val="both"/>
        <w:rPr>
          <w:lang w:eastAsia="zh-CN" w:bidi="hi-IN"/>
        </w:rPr>
      </w:pPr>
    </w:p>
    <w:p w:rsidR="0010632A" w:rsidRDefault="0010632A" w:rsidP="007B1C7D">
      <w:pPr>
        <w:ind w:firstLine="567"/>
        <w:jc w:val="both"/>
      </w:pPr>
      <w:r>
        <w:t xml:space="preserve">Sygn. akt I CSK 3351/22 POSTANOWIENIE Dnia 15 września 2022 r. </w:t>
      </w:r>
    </w:p>
    <w:p w:rsidR="00D66667" w:rsidRDefault="005127EF" w:rsidP="007B1C7D">
      <w:pPr>
        <w:ind w:firstLine="567"/>
        <w:jc w:val="both"/>
      </w:pPr>
      <w:r>
        <w:t xml:space="preserve">Sygn. akt I CSK 2815/22 POSTANOWIENIE Dnia 23 czerwca 2022 r. </w:t>
      </w:r>
    </w:p>
    <w:p w:rsidR="007B1C7D" w:rsidRDefault="007B1C7D" w:rsidP="001E1F60">
      <w:pPr>
        <w:jc w:val="both"/>
      </w:pPr>
    </w:p>
    <w:p w:rsidR="007B1C7D" w:rsidRPr="007B1C7D" w:rsidRDefault="007B1C7D" w:rsidP="007B1C7D">
      <w:pPr>
        <w:pStyle w:val="Akapitzlist"/>
        <w:numPr>
          <w:ilvl w:val="0"/>
          <w:numId w:val="23"/>
        </w:numPr>
        <w:ind w:left="567" w:hanging="567"/>
        <w:jc w:val="both"/>
        <w:rPr>
          <w:i/>
        </w:rPr>
      </w:pPr>
      <w:r w:rsidRPr="007B1C7D">
        <w:rPr>
          <w:i/>
        </w:rPr>
        <w:t>C</w:t>
      </w:r>
      <w:r w:rsidR="00D66667" w:rsidRPr="007B1C7D">
        <w:rPr>
          <w:i/>
        </w:rPr>
        <w:t xml:space="preserve">zy wywodzony w orzecznictwie Trybunału Sprawiedliwości Unii Europejskiej 3 oraz sądów polskich z art. 3851 § 1 i 2 k.c. oraz art. 6 ust. 1 dyrektywy rady 93/13 z dnia 5 kwietnia 1993 r. w sprawie nieuczciwych warunków w umowach konsumenckich (Dz. Urz. UE z 1993 L 95, s. 29 ze zm., dalej dyrektywa 93/13) obowiązek pouczenia konsumenta przez sąd, w razie stwierdzenia wystąpienia w umowie postanowień o charakterze abuzywnym, o możliwych skutkach uznania postanowień umownych za niedozwolone, w tym stwierdzenia nieważności umowy oraz odebrania od niego oświadczenia co do jego woli w zakresie skorzystania lub rezygnacji z ochrony </w:t>
      </w:r>
      <w:r w:rsidR="00D66667" w:rsidRPr="007B1C7D">
        <w:rPr>
          <w:i/>
        </w:rPr>
        <w:lastRenderedPageBreak/>
        <w:t>związanej z abuzywnością klauzul umownych, w tym w razie możliwości uznania umowy w</w:t>
      </w:r>
      <w:r>
        <w:rPr>
          <w:i/>
        </w:rPr>
        <w:t> </w:t>
      </w:r>
      <w:r w:rsidR="00D66667" w:rsidRPr="007B1C7D">
        <w:rPr>
          <w:i/>
        </w:rPr>
        <w:t>całości za nieważną (bezskuteczną), ma znaczenie o charakterze materialnoprawnym, a tym samym jego niedochowanie skutkuje przedwczesnością wyrokowania w zakresie uznania postanowień umownych za niedozwolone, w tym ewentualnie stwierdzenia nieważności umowy w oparciu o przesłanki uregulowane w art. 3851 § 1 k.c., czy też o charakterze procesowym, który w świetle proeuropejskiej wykładni powinien zostać wyprowadzony z art. 1561 k.p.c.;</w:t>
      </w:r>
    </w:p>
    <w:p w:rsidR="00D66667" w:rsidRDefault="00D66667" w:rsidP="007B1C7D">
      <w:pPr>
        <w:pStyle w:val="Akapitzlist"/>
        <w:ind w:left="567"/>
        <w:jc w:val="both"/>
      </w:pPr>
      <w:r>
        <w:br/>
      </w:r>
      <w:r>
        <w:t xml:space="preserve">Sygn. akt I CSK 2326/22 POSTANOWIENIE Dnia 15 czerwca 2022 r. </w:t>
      </w:r>
    </w:p>
    <w:p w:rsidR="007B1C7D" w:rsidRDefault="007B1C7D" w:rsidP="007B1C7D">
      <w:pPr>
        <w:pStyle w:val="Akapitzlist"/>
        <w:ind w:left="567"/>
        <w:jc w:val="both"/>
      </w:pPr>
    </w:p>
    <w:p w:rsidR="00642B92" w:rsidRPr="007B1C7D" w:rsidRDefault="007B1C7D" w:rsidP="007B1C7D">
      <w:pPr>
        <w:pStyle w:val="Akapitzlist"/>
        <w:numPr>
          <w:ilvl w:val="0"/>
          <w:numId w:val="23"/>
        </w:numPr>
        <w:ind w:left="567" w:hanging="567"/>
        <w:jc w:val="both"/>
        <w:rPr>
          <w:i/>
        </w:rPr>
      </w:pPr>
      <w:r w:rsidRPr="007B1C7D">
        <w:rPr>
          <w:i/>
        </w:rPr>
        <w:t>C</w:t>
      </w:r>
      <w:r w:rsidR="00642B92" w:rsidRPr="007B1C7D">
        <w:rPr>
          <w:i/>
        </w:rPr>
        <w:t>zy obowiązek pouczenia konsumenta przez Sąd powszechny, w razie stwierdzenia wystąpienia w umowie postanowień o charakterze abuzywnym, o możliwych skutkach uznania postanowień umownych za niedozwolone, w tym stwierdzenia bezsku</w:t>
      </w:r>
      <w:r>
        <w:rPr>
          <w:i/>
        </w:rPr>
        <w:t>teczności (nieważności) umowy w </w:t>
      </w:r>
      <w:r w:rsidR="00642B92" w:rsidRPr="007B1C7D">
        <w:rPr>
          <w:i/>
        </w:rPr>
        <w:t xml:space="preserve">całości musi być realizowany przez Sąd powszechny poprzez: </w:t>
      </w:r>
    </w:p>
    <w:p w:rsidR="00642B92" w:rsidRPr="007B1C7D" w:rsidRDefault="00642B92" w:rsidP="007B1C7D">
      <w:pPr>
        <w:pStyle w:val="Akapitzlist"/>
        <w:ind w:left="567"/>
        <w:jc w:val="both"/>
        <w:rPr>
          <w:i/>
        </w:rPr>
      </w:pPr>
      <w:r w:rsidRPr="007B1C7D">
        <w:rPr>
          <w:i/>
        </w:rPr>
        <w:t>a) zapoznanie konsumenta z rodzajami możliwych roszczeń</w:t>
      </w:r>
      <w:r w:rsidR="007B1C7D">
        <w:rPr>
          <w:i/>
        </w:rPr>
        <w:t xml:space="preserve"> banku będącego kredytodawcą, w </w:t>
      </w:r>
      <w:r w:rsidRPr="007B1C7D">
        <w:rPr>
          <w:i/>
        </w:rPr>
        <w:t xml:space="preserve">tym co do roszczenia o zwrot wypłaconego kapitału kredytu oraz wynagrodzenia za korzystanie z kapitału, względnie zwrot kosztów obsługi </w:t>
      </w:r>
      <w:r w:rsidR="007B1C7D">
        <w:rPr>
          <w:i/>
        </w:rPr>
        <w:t>kredytu, względnie roszczenia o </w:t>
      </w:r>
      <w:r w:rsidRPr="007B1C7D">
        <w:rPr>
          <w:i/>
        </w:rPr>
        <w:t xml:space="preserve">waloryzację sądową wypłaconego kapitału; </w:t>
      </w:r>
    </w:p>
    <w:p w:rsidR="00642B92" w:rsidRPr="007B1C7D" w:rsidRDefault="00642B92" w:rsidP="007B1C7D">
      <w:pPr>
        <w:pStyle w:val="Akapitzlist"/>
        <w:ind w:left="567"/>
        <w:jc w:val="both"/>
        <w:rPr>
          <w:i/>
        </w:rPr>
      </w:pPr>
      <w:r w:rsidRPr="007B1C7D">
        <w:rPr>
          <w:i/>
        </w:rPr>
        <w:t xml:space="preserve">b) poinformowanie konsumenta co do szacunkowej wysokości takich roszczeń; </w:t>
      </w:r>
    </w:p>
    <w:p w:rsidR="00642B92" w:rsidRPr="007B1C7D" w:rsidRDefault="00642B92" w:rsidP="007B1C7D">
      <w:pPr>
        <w:pStyle w:val="Akapitzlist"/>
        <w:ind w:left="567"/>
        <w:jc w:val="both"/>
        <w:rPr>
          <w:i/>
        </w:rPr>
      </w:pPr>
      <w:r w:rsidRPr="007B1C7D">
        <w:rPr>
          <w:i/>
        </w:rPr>
        <w:t>c) odebrania od konsumenta, będącego stroną umowy w dacie wyrokowania, oświadczenia co do woli skorzystania lub rezygnacji z ochrony związanej z abuzywnością klauzul umownych oraz stanowiska co do uznania umowy w całości za bezskuteczną (nieważną), jeżeli na skutek wyeliminowanie z niej powyżej wymienionych postanowień nie może być ona w dalszym ciągu wykonywana;</w:t>
      </w:r>
    </w:p>
    <w:p w:rsidR="007B1C7D" w:rsidRDefault="007B1C7D" w:rsidP="001E1F60">
      <w:pPr>
        <w:jc w:val="both"/>
      </w:pPr>
    </w:p>
    <w:p w:rsidR="005127EF" w:rsidRDefault="00642B92" w:rsidP="007B1C7D">
      <w:pPr>
        <w:ind w:firstLine="567"/>
        <w:jc w:val="both"/>
      </w:pPr>
      <w:r>
        <w:t xml:space="preserve">Sygn. akt I CSK 2333/22 POSTANOWIENIE Dnia 15 czerwca 2022 r. </w:t>
      </w:r>
    </w:p>
    <w:p w:rsidR="008B584C" w:rsidRDefault="008B584C" w:rsidP="001E1F60">
      <w:pPr>
        <w:jc w:val="both"/>
      </w:pPr>
    </w:p>
    <w:p w:rsidR="008B584C" w:rsidRPr="007B1C7D" w:rsidRDefault="008B584C" w:rsidP="007B1C7D">
      <w:pPr>
        <w:pStyle w:val="Akapitzlist"/>
        <w:numPr>
          <w:ilvl w:val="0"/>
          <w:numId w:val="45"/>
        </w:numPr>
        <w:ind w:left="567" w:hanging="567"/>
        <w:jc w:val="both"/>
        <w:rPr>
          <w:i/>
        </w:rPr>
      </w:pPr>
      <w:r w:rsidRPr="007B1C7D">
        <w:rPr>
          <w:i/>
        </w:rPr>
        <w:t>Czy złożenie przez konsumenta oświadczenia o świadomości konsekwencji stwierdzenia przez Sąd nieważn</w:t>
      </w:r>
      <w:r w:rsidR="009F46AF">
        <w:rPr>
          <w:i/>
        </w:rPr>
        <w:t xml:space="preserve">ości umowy oraz co do tego, że </w:t>
      </w:r>
      <w:r w:rsidRPr="007B1C7D">
        <w:rPr>
          <w:i/>
        </w:rPr>
        <w:t xml:space="preserve"> stwierdzenie nieważności umowy przez Sąd nie będzie dla niego niekorzystne, stanowi oświadczenie woli, o którym mowa w art. 65 k.c., jako zachowanie zmierzające do wywołania określonego skutku, w ramach stosunku prawnego, polegającego na jego ustaniu i czy może ono zostać, w ramach postępowania sądowego, złożone przez pełnomocnika procesowego w piśmie procesowym czy zastąpione poprzez sformułowane żądanie pozwu, czy też jest ono oświadczeniem wiedzy, stanowiącym uzewnętrznienie wobec Sądu orzekającego treści intelektualnej kredytobiorcy, co do rozumienia przez niego skutków </w:t>
      </w:r>
      <w:r w:rsidRPr="007B1C7D">
        <w:rPr>
          <w:i/>
        </w:rPr>
        <w:lastRenderedPageBreak/>
        <w:t>stwierdzenia przez Sąd nieważności umowy i stanowiącym wyraz pojmowania tych skutków, w</w:t>
      </w:r>
      <w:r w:rsidR="007B1C7D">
        <w:rPr>
          <w:i/>
        </w:rPr>
        <w:t> </w:t>
      </w:r>
      <w:r w:rsidRPr="007B1C7D">
        <w:rPr>
          <w:i/>
        </w:rPr>
        <w:t>ramach subiektywnej oceny kredytobiorcy, co do tego, czy stwierdzenie przez Sąd nieważności umowy będzie dla niego niekorzystne, które to oświadczenie, nie może zostać złożone przez pełnomocnika z uwagi na swój charakter, jak też nie może być zastąpione poprzez zgłoszenie roszczenia procesowego?</w:t>
      </w:r>
    </w:p>
    <w:p w:rsidR="007B1C7D" w:rsidRDefault="007B1C7D" w:rsidP="001E1F60">
      <w:pPr>
        <w:pStyle w:val="Akapitzlist"/>
        <w:jc w:val="both"/>
      </w:pPr>
    </w:p>
    <w:p w:rsidR="008B584C" w:rsidRDefault="008B584C" w:rsidP="007B1C7D">
      <w:pPr>
        <w:pStyle w:val="Akapitzlist"/>
        <w:ind w:hanging="153"/>
        <w:jc w:val="both"/>
      </w:pPr>
      <w:r>
        <w:t xml:space="preserve">Sygn. akt I CSK 277/22 POSTANOWIENIE Dnia 27 stycznia 2022 r. </w:t>
      </w:r>
    </w:p>
    <w:p w:rsidR="007B1C7D" w:rsidRDefault="007B1C7D" w:rsidP="007B1C7D">
      <w:pPr>
        <w:pStyle w:val="Akapitzlist"/>
        <w:ind w:hanging="153"/>
        <w:jc w:val="both"/>
      </w:pPr>
    </w:p>
    <w:p w:rsidR="005127EF" w:rsidRDefault="005127EF" w:rsidP="001E1F60">
      <w:pPr>
        <w:pStyle w:val="Nagwek1"/>
      </w:pPr>
      <w:r>
        <w:t>Zasady współżycia społecznego</w:t>
      </w:r>
    </w:p>
    <w:p w:rsidR="007B1C7D" w:rsidRPr="007B1C7D" w:rsidRDefault="007B1C7D" w:rsidP="007B1C7D">
      <w:pPr>
        <w:rPr>
          <w:lang w:eastAsia="zh-CN" w:bidi="hi-IN"/>
        </w:rPr>
      </w:pPr>
    </w:p>
    <w:p w:rsidR="005127EF" w:rsidRPr="007B1C7D" w:rsidRDefault="005127EF" w:rsidP="007B1C7D">
      <w:pPr>
        <w:pStyle w:val="Akapitzlist"/>
        <w:numPr>
          <w:ilvl w:val="0"/>
          <w:numId w:val="23"/>
        </w:numPr>
        <w:ind w:left="567" w:hanging="567"/>
        <w:jc w:val="both"/>
        <w:rPr>
          <w:i/>
          <w:lang w:eastAsia="zh-CN" w:bidi="hi-IN"/>
        </w:rPr>
      </w:pPr>
      <w:r w:rsidRPr="007B1C7D">
        <w:rPr>
          <w:i/>
        </w:rPr>
        <w:t>Czy umowa kredytu denominowanego w CHF, co do której sąd orzekający ustalił, że w swojej treści zawiera postanowienia abuzywne w rozumieniu art. 3851 § 1 k.c., może być z tej przyczyny uznana za bezwzględnie nieważną z uwagi na jej sprzeczność z zasadami współżycia społecznego na mocy art. 58 § 2 k.c., a jeżeli tak to czy z uwagi na pewność obrotu prawnego uzasadnienie wyroku w zakresie sprzeczności umowy z zasadami współżycia społecznego powinno w sposób szczegółowy i jednoznaczny wskazywać podstawy dokonania takiego ustalenia, zasady współżycia społecznego, które zostały przez tę umowę naruszone oraz sposób w jaki umowa naruszyła te zasady?</w:t>
      </w:r>
    </w:p>
    <w:p w:rsidR="007B1C7D" w:rsidRDefault="007B1C7D" w:rsidP="007B1C7D">
      <w:pPr>
        <w:pStyle w:val="Akapitzlist"/>
        <w:jc w:val="both"/>
        <w:rPr>
          <w:lang w:eastAsia="zh-CN" w:bidi="hi-IN"/>
        </w:rPr>
      </w:pPr>
    </w:p>
    <w:p w:rsidR="005127EF" w:rsidRDefault="005127EF" w:rsidP="007B1C7D">
      <w:pPr>
        <w:pStyle w:val="Akapitzlist"/>
        <w:ind w:hanging="153"/>
        <w:jc w:val="both"/>
      </w:pPr>
      <w:r>
        <w:t xml:space="preserve">Sygn. akt I CSK 2815/22 POSTANOWIENIE Dnia 23 czerwca 2022 r. </w:t>
      </w:r>
    </w:p>
    <w:p w:rsidR="005127EF" w:rsidRDefault="005127EF" w:rsidP="001E1F60">
      <w:pPr>
        <w:pStyle w:val="Akapitzlist"/>
        <w:jc w:val="both"/>
      </w:pPr>
    </w:p>
    <w:p w:rsidR="005127EF" w:rsidRPr="005127EF" w:rsidRDefault="005127EF" w:rsidP="001E1F60">
      <w:pPr>
        <w:pStyle w:val="Akapitzlist"/>
        <w:jc w:val="both"/>
        <w:rPr>
          <w:lang w:eastAsia="zh-CN" w:bidi="hi-IN"/>
        </w:rPr>
      </w:pPr>
    </w:p>
    <w:sectPr w:rsidR="005127EF" w:rsidRPr="005127EF" w:rsidSect="003662FE">
      <w:pgSz w:w="11906" w:h="16838" w:code="9"/>
      <w:pgMar w:top="1304" w:right="1418" w:bottom="1418" w:left="1418" w:header="284" w:footer="204" w:gutter="0"/>
      <w:paperSrc w:first="1" w:other="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508" w:rsidRDefault="00D23508" w:rsidP="003F68A7">
      <w:pPr>
        <w:spacing w:after="0" w:line="240" w:lineRule="auto"/>
      </w:pPr>
      <w:r>
        <w:separator/>
      </w:r>
    </w:p>
  </w:endnote>
  <w:endnote w:type="continuationSeparator" w:id="0">
    <w:p w:rsidR="00D23508" w:rsidRDefault="00D23508" w:rsidP="003F6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508" w:rsidRDefault="00D23508" w:rsidP="003F68A7">
      <w:pPr>
        <w:spacing w:after="0" w:line="240" w:lineRule="auto"/>
      </w:pPr>
      <w:r>
        <w:separator/>
      </w:r>
    </w:p>
  </w:footnote>
  <w:footnote w:type="continuationSeparator" w:id="0">
    <w:p w:rsidR="00D23508" w:rsidRDefault="00D23508" w:rsidP="003F68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D7FC9"/>
    <w:multiLevelType w:val="hybridMultilevel"/>
    <w:tmpl w:val="9EF6E0F4"/>
    <w:lvl w:ilvl="0" w:tplc="0415000B">
      <w:start w:val="1"/>
      <w:numFmt w:val="bullet"/>
      <w:lvlText w:val=""/>
      <w:lvlJc w:val="left"/>
      <w:pPr>
        <w:ind w:left="814" w:hanging="360"/>
      </w:pPr>
      <w:rPr>
        <w:rFonts w:ascii="Wingdings" w:hAnsi="Wingdings" w:hint="default"/>
      </w:rPr>
    </w:lvl>
    <w:lvl w:ilvl="1" w:tplc="04150003" w:tentative="1">
      <w:start w:val="1"/>
      <w:numFmt w:val="bullet"/>
      <w:lvlText w:val="o"/>
      <w:lvlJc w:val="left"/>
      <w:pPr>
        <w:ind w:left="1534" w:hanging="360"/>
      </w:pPr>
      <w:rPr>
        <w:rFonts w:ascii="Courier New" w:hAnsi="Courier New" w:cs="Courier New" w:hint="default"/>
      </w:rPr>
    </w:lvl>
    <w:lvl w:ilvl="2" w:tplc="04150005" w:tentative="1">
      <w:start w:val="1"/>
      <w:numFmt w:val="bullet"/>
      <w:lvlText w:val=""/>
      <w:lvlJc w:val="left"/>
      <w:pPr>
        <w:ind w:left="2254" w:hanging="360"/>
      </w:pPr>
      <w:rPr>
        <w:rFonts w:ascii="Wingdings" w:hAnsi="Wingdings" w:hint="default"/>
      </w:rPr>
    </w:lvl>
    <w:lvl w:ilvl="3" w:tplc="04150001" w:tentative="1">
      <w:start w:val="1"/>
      <w:numFmt w:val="bullet"/>
      <w:lvlText w:val=""/>
      <w:lvlJc w:val="left"/>
      <w:pPr>
        <w:ind w:left="2974" w:hanging="360"/>
      </w:pPr>
      <w:rPr>
        <w:rFonts w:ascii="Symbol" w:hAnsi="Symbol" w:hint="default"/>
      </w:rPr>
    </w:lvl>
    <w:lvl w:ilvl="4" w:tplc="04150003" w:tentative="1">
      <w:start w:val="1"/>
      <w:numFmt w:val="bullet"/>
      <w:lvlText w:val="o"/>
      <w:lvlJc w:val="left"/>
      <w:pPr>
        <w:ind w:left="3694" w:hanging="360"/>
      </w:pPr>
      <w:rPr>
        <w:rFonts w:ascii="Courier New" w:hAnsi="Courier New" w:cs="Courier New" w:hint="default"/>
      </w:rPr>
    </w:lvl>
    <w:lvl w:ilvl="5" w:tplc="04150005" w:tentative="1">
      <w:start w:val="1"/>
      <w:numFmt w:val="bullet"/>
      <w:lvlText w:val=""/>
      <w:lvlJc w:val="left"/>
      <w:pPr>
        <w:ind w:left="4414" w:hanging="360"/>
      </w:pPr>
      <w:rPr>
        <w:rFonts w:ascii="Wingdings" w:hAnsi="Wingdings" w:hint="default"/>
      </w:rPr>
    </w:lvl>
    <w:lvl w:ilvl="6" w:tplc="04150001" w:tentative="1">
      <w:start w:val="1"/>
      <w:numFmt w:val="bullet"/>
      <w:lvlText w:val=""/>
      <w:lvlJc w:val="left"/>
      <w:pPr>
        <w:ind w:left="5134" w:hanging="360"/>
      </w:pPr>
      <w:rPr>
        <w:rFonts w:ascii="Symbol" w:hAnsi="Symbol" w:hint="default"/>
      </w:rPr>
    </w:lvl>
    <w:lvl w:ilvl="7" w:tplc="04150003" w:tentative="1">
      <w:start w:val="1"/>
      <w:numFmt w:val="bullet"/>
      <w:lvlText w:val="o"/>
      <w:lvlJc w:val="left"/>
      <w:pPr>
        <w:ind w:left="5854" w:hanging="360"/>
      </w:pPr>
      <w:rPr>
        <w:rFonts w:ascii="Courier New" w:hAnsi="Courier New" w:cs="Courier New" w:hint="default"/>
      </w:rPr>
    </w:lvl>
    <w:lvl w:ilvl="8" w:tplc="04150005" w:tentative="1">
      <w:start w:val="1"/>
      <w:numFmt w:val="bullet"/>
      <w:lvlText w:val=""/>
      <w:lvlJc w:val="left"/>
      <w:pPr>
        <w:ind w:left="6574" w:hanging="360"/>
      </w:pPr>
      <w:rPr>
        <w:rFonts w:ascii="Wingdings" w:hAnsi="Wingdings" w:hint="default"/>
      </w:rPr>
    </w:lvl>
  </w:abstractNum>
  <w:abstractNum w:abstractNumId="1" w15:restartNumberingAfterBreak="0">
    <w:nsid w:val="02FC2523"/>
    <w:multiLevelType w:val="hybridMultilevel"/>
    <w:tmpl w:val="EB8AD1C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83686"/>
    <w:multiLevelType w:val="hybridMultilevel"/>
    <w:tmpl w:val="D8C2373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D10AF6"/>
    <w:multiLevelType w:val="hybridMultilevel"/>
    <w:tmpl w:val="4BF0A64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8543360"/>
    <w:multiLevelType w:val="hybridMultilevel"/>
    <w:tmpl w:val="5A6692F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935F68"/>
    <w:multiLevelType w:val="hybridMultilevel"/>
    <w:tmpl w:val="88C20232"/>
    <w:lvl w:ilvl="0" w:tplc="7AC43F58">
      <w:start w:val="1"/>
      <w:numFmt w:val="low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7ED0255"/>
    <w:multiLevelType w:val="hybridMultilevel"/>
    <w:tmpl w:val="85F2209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877742"/>
    <w:multiLevelType w:val="hybridMultilevel"/>
    <w:tmpl w:val="F6DCF90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A93317D"/>
    <w:multiLevelType w:val="multilevel"/>
    <w:tmpl w:val="62025806"/>
    <w:styleLink w:val="RozdziayCzad"/>
    <w:lvl w:ilvl="0">
      <w:start w:val="1"/>
      <w:numFmt w:val="decimal"/>
      <w:lvlText w:val="[%1]"/>
      <w:lvlJc w:val="left"/>
      <w:pPr>
        <w:ind w:left="0" w:firstLine="0"/>
      </w:pPr>
      <w:rPr>
        <w:rFonts w:ascii="Calibri" w:hAnsi="Calibri"/>
        <w:b/>
        <w:i w:val="0"/>
        <w:sz w:val="22"/>
      </w:rPr>
    </w:lvl>
    <w:lvl w:ilvl="1">
      <w:start w:val="1"/>
      <w:numFmt w:val="decimal"/>
      <w:lvlText w:val="[%1.%2]"/>
      <w:lvlJc w:val="left"/>
      <w:pPr>
        <w:ind w:left="0" w:firstLine="0"/>
      </w:pPr>
      <w:rPr>
        <w:rFonts w:hint="default"/>
        <w:b w:val="0"/>
        <w:i w:val="0"/>
        <w:u w:val="single"/>
      </w:rPr>
    </w:lvl>
    <w:lvl w:ilvl="2">
      <w:start w:val="1"/>
      <w:numFmt w:val="decimal"/>
      <w:lvlText w:val="[%1.%2.%3]"/>
      <w:lvlJc w:val="left"/>
      <w:pPr>
        <w:ind w:left="0" w:firstLine="0"/>
      </w:pPr>
      <w:rPr>
        <w:rFonts w:hint="default"/>
        <w:u w:val="single"/>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20F0454A"/>
    <w:multiLevelType w:val="hybridMultilevel"/>
    <w:tmpl w:val="B628B9F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1A6CA5"/>
    <w:multiLevelType w:val="hybridMultilevel"/>
    <w:tmpl w:val="50AAEAAE"/>
    <w:lvl w:ilvl="0" w:tplc="0415000B">
      <w:start w:val="1"/>
      <w:numFmt w:val="bullet"/>
      <w:lvlText w:val=""/>
      <w:lvlJc w:val="left"/>
      <w:pPr>
        <w:ind w:left="720" w:hanging="360"/>
      </w:pPr>
      <w:rPr>
        <w:rFonts w:ascii="Wingdings" w:hAnsi="Wingdings" w:hint="default"/>
      </w:rPr>
    </w:lvl>
    <w:lvl w:ilvl="1" w:tplc="CEDC7F6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563804"/>
    <w:multiLevelType w:val="hybridMultilevel"/>
    <w:tmpl w:val="3C4EDC0C"/>
    <w:lvl w:ilvl="0" w:tplc="8028F07C">
      <w:start w:val="1"/>
      <w:numFmt w:val="decimal"/>
      <w:pStyle w:val="Nagwekspisutreci"/>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DC629F"/>
    <w:multiLevelType w:val="hybridMultilevel"/>
    <w:tmpl w:val="5170C29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F9356AB"/>
    <w:multiLevelType w:val="hybridMultilevel"/>
    <w:tmpl w:val="602CF1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A2722E9"/>
    <w:multiLevelType w:val="hybridMultilevel"/>
    <w:tmpl w:val="0420C24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111A27"/>
    <w:multiLevelType w:val="hybridMultilevel"/>
    <w:tmpl w:val="FFF631D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51207A8"/>
    <w:multiLevelType w:val="multilevel"/>
    <w:tmpl w:val="7C6E1C4A"/>
    <w:lvl w:ilvl="0">
      <w:start w:val="1"/>
      <w:numFmt w:val="decimal"/>
      <w:pStyle w:val="Rozdziay"/>
      <w:lvlText w:val="[%1]"/>
      <w:lvlJc w:val="left"/>
      <w:pPr>
        <w:ind w:left="454" w:hanging="454"/>
      </w:pPr>
      <w:rPr>
        <w:rFonts w:hint="default"/>
      </w:rPr>
    </w:lvl>
    <w:lvl w:ilvl="1">
      <w:start w:val="1"/>
      <w:numFmt w:val="decimal"/>
      <w:lvlText w:val="[%1.%2]"/>
      <w:lvlJc w:val="left"/>
      <w:pPr>
        <w:ind w:left="454" w:hanging="454"/>
      </w:pPr>
      <w:rPr>
        <w:rFonts w:ascii="Calibri" w:hAnsi="Calibri" w:hint="default"/>
        <w:b w:val="0"/>
        <w:i w:val="0"/>
        <w:sz w:val="22"/>
        <w:u w:val="none"/>
      </w:rPr>
    </w:lvl>
    <w:lvl w:ilvl="2">
      <w:start w:val="1"/>
      <w:numFmt w:val="decimal"/>
      <w:lvlText w:val="[%1.%2.%3]"/>
      <w:lvlJc w:val="left"/>
      <w:pPr>
        <w:ind w:left="454" w:hanging="454"/>
      </w:pPr>
      <w:rPr>
        <w:rFonts w:ascii="Calibri" w:hAnsi="Calibri" w:hint="default"/>
        <w:b w:val="0"/>
        <w:i w:val="0"/>
        <w:color w:val="auto"/>
        <w:sz w:val="22"/>
        <w:u w:val="words"/>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7" w15:restartNumberingAfterBreak="0">
    <w:nsid w:val="47474021"/>
    <w:multiLevelType w:val="hybridMultilevel"/>
    <w:tmpl w:val="CAD012CA"/>
    <w:lvl w:ilvl="0" w:tplc="0415000B">
      <w:start w:val="1"/>
      <w:numFmt w:val="bullet"/>
      <w:lvlText w:val=""/>
      <w:lvlJc w:val="left"/>
      <w:pPr>
        <w:ind w:left="720" w:hanging="360"/>
      </w:pPr>
      <w:rPr>
        <w:rFonts w:ascii="Wingdings" w:hAnsi="Wingdings" w:hint="default"/>
      </w:rPr>
    </w:lvl>
    <w:lvl w:ilvl="1" w:tplc="CEDC7F66">
      <w:start w:val="1"/>
      <w:numFmt w:val="decimal"/>
      <w:lvlText w:val="%2)"/>
      <w:lvlJc w:val="left"/>
      <w:pPr>
        <w:ind w:left="1440" w:hanging="360"/>
      </w:pPr>
      <w:rPr>
        <w:rFonts w:hint="default"/>
      </w:rPr>
    </w:lvl>
    <w:lvl w:ilvl="2" w:tplc="3D122D04">
      <w:start w:val="1"/>
      <w:numFmt w:val="low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4122DF"/>
    <w:multiLevelType w:val="hybridMultilevel"/>
    <w:tmpl w:val="E2D8080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D75390B"/>
    <w:multiLevelType w:val="hybridMultilevel"/>
    <w:tmpl w:val="30929B5C"/>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8981528"/>
    <w:multiLevelType w:val="hybridMultilevel"/>
    <w:tmpl w:val="980CB05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ABF1EE6"/>
    <w:multiLevelType w:val="hybridMultilevel"/>
    <w:tmpl w:val="10D881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E9240E8"/>
    <w:multiLevelType w:val="hybridMultilevel"/>
    <w:tmpl w:val="88825896"/>
    <w:lvl w:ilvl="0" w:tplc="0415000B">
      <w:start w:val="1"/>
      <w:numFmt w:val="bullet"/>
      <w:lvlText w:val=""/>
      <w:lvlJc w:val="left"/>
      <w:pPr>
        <w:ind w:left="720" w:hanging="360"/>
      </w:pPr>
      <w:rPr>
        <w:rFonts w:ascii="Wingdings" w:hAnsi="Wingdings" w:hint="default"/>
      </w:rPr>
    </w:lvl>
    <w:lvl w:ilvl="1" w:tplc="CEDC7F6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0019D7"/>
    <w:multiLevelType w:val="hybridMultilevel"/>
    <w:tmpl w:val="FA9AA1A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EC545F9"/>
    <w:multiLevelType w:val="multilevel"/>
    <w:tmpl w:val="0415001D"/>
    <w:styleLink w:val="Dowody-Styl"/>
    <w:lvl w:ilvl="0">
      <w:start w:val="1"/>
      <w:numFmt w:val="decimal"/>
      <w:lvlText w:val="%1)"/>
      <w:lvlJc w:val="left"/>
      <w:pPr>
        <w:ind w:left="360" w:hanging="360"/>
      </w:pPr>
      <w:rPr>
        <w:rFonts w:ascii="Calibri" w:hAnsi="Calibri"/>
        <w:b/>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1B56F1E"/>
    <w:multiLevelType w:val="hybridMultilevel"/>
    <w:tmpl w:val="902C4F2A"/>
    <w:lvl w:ilvl="0" w:tplc="DB863062">
      <w:start w:val="1"/>
      <w:numFmt w:val="lowerLetter"/>
      <w:lvlText w:val="%1)"/>
      <w:lvlJc w:val="left"/>
      <w:pPr>
        <w:ind w:left="1080" w:hanging="360"/>
      </w:pPr>
      <w:rPr>
        <w:rFonts w:hint="default"/>
        <w: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77E972FC"/>
    <w:multiLevelType w:val="hybridMultilevel"/>
    <w:tmpl w:val="05BE82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F2741F0"/>
    <w:multiLevelType w:val="hybridMultilevel"/>
    <w:tmpl w:val="F2ECFB44"/>
    <w:lvl w:ilvl="0" w:tplc="EF3203B4">
      <w:start w:val="1"/>
      <w:numFmt w:val="decimal"/>
      <w:pStyle w:val="Zacznik"/>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16"/>
  </w:num>
  <w:num w:numId="3">
    <w:abstractNumId w:val="8"/>
  </w:num>
  <w:num w:numId="4">
    <w:abstractNumId w:val="8"/>
  </w:num>
  <w:num w:numId="5">
    <w:abstractNumId w:val="27"/>
  </w:num>
  <w:num w:numId="6">
    <w:abstractNumId w:val="16"/>
  </w:num>
  <w:num w:numId="7">
    <w:abstractNumId w:val="27"/>
  </w:num>
  <w:num w:numId="8">
    <w:abstractNumId w:val="16"/>
  </w:num>
  <w:num w:numId="9">
    <w:abstractNumId w:val="8"/>
  </w:num>
  <w:num w:numId="10">
    <w:abstractNumId w:val="16"/>
  </w:num>
  <w:num w:numId="11">
    <w:abstractNumId w:val="27"/>
  </w:num>
  <w:num w:numId="12">
    <w:abstractNumId w:val="16"/>
  </w:num>
  <w:num w:numId="13">
    <w:abstractNumId w:val="8"/>
  </w:num>
  <w:num w:numId="14">
    <w:abstractNumId w:val="8"/>
  </w:num>
  <w:num w:numId="15">
    <w:abstractNumId w:val="8"/>
  </w:num>
  <w:num w:numId="16">
    <w:abstractNumId w:val="8"/>
  </w:num>
  <w:num w:numId="17">
    <w:abstractNumId w:val="16"/>
  </w:num>
  <w:num w:numId="18">
    <w:abstractNumId w:val="16"/>
  </w:num>
  <w:num w:numId="19">
    <w:abstractNumId w:val="27"/>
  </w:num>
  <w:num w:numId="20">
    <w:abstractNumId w:val="16"/>
  </w:num>
  <w:num w:numId="21">
    <w:abstractNumId w:val="8"/>
  </w:num>
  <w:num w:numId="22">
    <w:abstractNumId w:val="11"/>
  </w:num>
  <w:num w:numId="23">
    <w:abstractNumId w:val="10"/>
  </w:num>
  <w:num w:numId="24">
    <w:abstractNumId w:val="3"/>
  </w:num>
  <w:num w:numId="25">
    <w:abstractNumId w:val="19"/>
  </w:num>
  <w:num w:numId="26">
    <w:abstractNumId w:val="21"/>
  </w:num>
  <w:num w:numId="27">
    <w:abstractNumId w:val="26"/>
  </w:num>
  <w:num w:numId="28">
    <w:abstractNumId w:val="0"/>
  </w:num>
  <w:num w:numId="29">
    <w:abstractNumId w:val="5"/>
  </w:num>
  <w:num w:numId="30">
    <w:abstractNumId w:val="13"/>
  </w:num>
  <w:num w:numId="31">
    <w:abstractNumId w:val="7"/>
  </w:num>
  <w:num w:numId="32">
    <w:abstractNumId w:val="1"/>
  </w:num>
  <w:num w:numId="33">
    <w:abstractNumId w:val="18"/>
  </w:num>
  <w:num w:numId="34">
    <w:abstractNumId w:val="6"/>
  </w:num>
  <w:num w:numId="35">
    <w:abstractNumId w:val="17"/>
  </w:num>
  <w:num w:numId="36">
    <w:abstractNumId w:val="4"/>
  </w:num>
  <w:num w:numId="37">
    <w:abstractNumId w:val="20"/>
  </w:num>
  <w:num w:numId="38">
    <w:abstractNumId w:val="25"/>
  </w:num>
  <w:num w:numId="39">
    <w:abstractNumId w:val="2"/>
  </w:num>
  <w:num w:numId="40">
    <w:abstractNumId w:val="12"/>
  </w:num>
  <w:num w:numId="41">
    <w:abstractNumId w:val="15"/>
  </w:num>
  <w:num w:numId="42">
    <w:abstractNumId w:val="14"/>
  </w:num>
  <w:num w:numId="43">
    <w:abstractNumId w:val="9"/>
  </w:num>
  <w:num w:numId="44">
    <w:abstractNumId w:val="22"/>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E8"/>
    <w:rsid w:val="0004268C"/>
    <w:rsid w:val="0009738E"/>
    <w:rsid w:val="0010632A"/>
    <w:rsid w:val="0013135B"/>
    <w:rsid w:val="001503D4"/>
    <w:rsid w:val="00190D59"/>
    <w:rsid w:val="001E1F60"/>
    <w:rsid w:val="00261547"/>
    <w:rsid w:val="003252A2"/>
    <w:rsid w:val="0035246C"/>
    <w:rsid w:val="003662FE"/>
    <w:rsid w:val="003F68A7"/>
    <w:rsid w:val="00420117"/>
    <w:rsid w:val="00421645"/>
    <w:rsid w:val="004820B3"/>
    <w:rsid w:val="00486A95"/>
    <w:rsid w:val="004C778A"/>
    <w:rsid w:val="004E61FE"/>
    <w:rsid w:val="005127EF"/>
    <w:rsid w:val="005E7124"/>
    <w:rsid w:val="00642B92"/>
    <w:rsid w:val="007079E8"/>
    <w:rsid w:val="00731348"/>
    <w:rsid w:val="00771B75"/>
    <w:rsid w:val="007B1C7D"/>
    <w:rsid w:val="008A7914"/>
    <w:rsid w:val="008B584C"/>
    <w:rsid w:val="0096390C"/>
    <w:rsid w:val="009F46AF"/>
    <w:rsid w:val="00A5552F"/>
    <w:rsid w:val="00AC5301"/>
    <w:rsid w:val="00C04939"/>
    <w:rsid w:val="00D16925"/>
    <w:rsid w:val="00D23508"/>
    <w:rsid w:val="00D66667"/>
    <w:rsid w:val="00DF6AB8"/>
    <w:rsid w:val="00EA51E2"/>
    <w:rsid w:val="00ED7D9B"/>
    <w:rsid w:val="00FC62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F123C-D6DB-44F0-A318-7321C81E1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4" w:unhideWhenUsed="1" w:qFormat="1"/>
    <w:lsdException w:name="heading 3" w:uiPriority="5"/>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7"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90D59"/>
    <w:pPr>
      <w:spacing w:after="40" w:line="360" w:lineRule="auto"/>
    </w:pPr>
  </w:style>
  <w:style w:type="paragraph" w:styleId="Nagwek1">
    <w:name w:val="heading 1"/>
    <w:basedOn w:val="Rozdziay"/>
    <w:next w:val="Normalny"/>
    <w:link w:val="Nagwek1Znak"/>
    <w:uiPriority w:val="4"/>
    <w:qFormat/>
    <w:rsid w:val="00190D59"/>
    <w:pPr>
      <w:keepNext/>
      <w:keepLines/>
      <w:spacing w:before="240" w:after="0" w:line="360" w:lineRule="auto"/>
      <w:outlineLvl w:val="0"/>
    </w:pPr>
    <w:rPr>
      <w:rFonts w:ascii="Calibri" w:eastAsiaTheme="majorEastAsia" w:hAnsi="Calibri" w:cstheme="majorBidi"/>
      <w:color w:val="1F4E79" w:themeColor="accent1" w:themeShade="80"/>
      <w:szCs w:val="32"/>
    </w:rPr>
  </w:style>
  <w:style w:type="paragraph" w:styleId="Nagwek2">
    <w:name w:val="heading 2"/>
    <w:basedOn w:val="Nagwek1"/>
    <w:next w:val="Normalny"/>
    <w:link w:val="Nagwek2Znak"/>
    <w:uiPriority w:val="4"/>
    <w:qFormat/>
    <w:rsid w:val="00190D59"/>
    <w:pPr>
      <w:spacing w:before="40"/>
      <w:outlineLvl w:val="1"/>
    </w:pPr>
    <w:rPr>
      <w:rFonts w:asciiTheme="majorHAnsi" w:hAnsiTheme="majorHAnsi"/>
      <w:b w:val="0"/>
      <w:color w:val="2E74B5" w:themeColor="accent1" w:themeShade="BF"/>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Dowody-Styl">
    <w:name w:val="Dowody - Styl"/>
    <w:basedOn w:val="Bezlisty"/>
    <w:uiPriority w:val="99"/>
    <w:rsid w:val="0035246C"/>
    <w:pPr>
      <w:numPr>
        <w:numId w:val="1"/>
      </w:numPr>
    </w:pPr>
  </w:style>
  <w:style w:type="paragraph" w:styleId="Spistreci1">
    <w:name w:val="toc 1"/>
    <w:aliases w:val="Dowody - mój spis treści"/>
    <w:basedOn w:val="Normalny"/>
    <w:next w:val="Normalny"/>
    <w:autoRedefine/>
    <w:uiPriority w:val="39"/>
    <w:unhideWhenUsed/>
    <w:rsid w:val="00190D59"/>
    <w:pPr>
      <w:tabs>
        <w:tab w:val="left" w:pos="660"/>
        <w:tab w:val="right" w:leader="dot" w:pos="9060"/>
      </w:tabs>
      <w:spacing w:after="100"/>
    </w:pPr>
    <w:rPr>
      <w:i/>
      <w:sz w:val="20"/>
    </w:rPr>
  </w:style>
  <w:style w:type="paragraph" w:customStyle="1" w:styleId="Rozdziay">
    <w:name w:val="Rozdziały"/>
    <w:next w:val="Normalny"/>
    <w:qFormat/>
    <w:rsid w:val="00190D59"/>
    <w:pPr>
      <w:widowControl w:val="0"/>
      <w:numPr>
        <w:numId w:val="20"/>
      </w:numPr>
      <w:suppressAutoHyphens/>
      <w:spacing w:before="120" w:after="120" w:line="240" w:lineRule="auto"/>
      <w:jc w:val="both"/>
      <w:textAlignment w:val="baseline"/>
    </w:pPr>
    <w:rPr>
      <w:rFonts w:eastAsia="SimSun" w:cs="Mangal"/>
      <w:b/>
      <w:kern w:val="2"/>
      <w:szCs w:val="24"/>
      <w:lang w:eastAsia="zh-CN" w:bidi="hi-IN"/>
    </w:rPr>
  </w:style>
  <w:style w:type="paragraph" w:styleId="Bezodstpw">
    <w:name w:val="No Spacing"/>
    <w:aliases w:val="Przywołanie"/>
    <w:basedOn w:val="Normalny"/>
    <w:next w:val="Normalny"/>
    <w:uiPriority w:val="1"/>
    <w:qFormat/>
    <w:rsid w:val="00190D59"/>
    <w:pPr>
      <w:spacing w:before="240" w:after="0" w:line="240" w:lineRule="auto"/>
    </w:pPr>
    <w:rPr>
      <w:i/>
      <w:color w:val="7F7F7F" w:themeColor="text1" w:themeTint="80"/>
      <w:sz w:val="20"/>
    </w:rPr>
  </w:style>
  <w:style w:type="numbering" w:customStyle="1" w:styleId="RozdziayCzad">
    <w:name w:val="Rozdziały Czad"/>
    <w:basedOn w:val="Bezlisty"/>
    <w:uiPriority w:val="99"/>
    <w:rsid w:val="00190D59"/>
    <w:pPr>
      <w:numPr>
        <w:numId w:val="3"/>
      </w:numPr>
    </w:pPr>
  </w:style>
  <w:style w:type="paragraph" w:customStyle="1" w:styleId="Adresat">
    <w:name w:val="Adresat"/>
    <w:basedOn w:val="Normalny"/>
    <w:link w:val="AdresatZnak"/>
    <w:uiPriority w:val="1"/>
    <w:qFormat/>
    <w:rsid w:val="00190D59"/>
    <w:pPr>
      <w:spacing w:after="0"/>
      <w:ind w:left="6010"/>
      <w:jc w:val="both"/>
    </w:pPr>
    <w:rPr>
      <w:rFonts w:eastAsia="Times New Roman" w:cstheme="minorHAnsi"/>
      <w:b/>
      <w:iCs/>
      <w:lang w:eastAsia="pl-PL"/>
    </w:rPr>
  </w:style>
  <w:style w:type="character" w:customStyle="1" w:styleId="AdresatZnak">
    <w:name w:val="Adresat Znak"/>
    <w:basedOn w:val="Domylnaczcionkaakapitu"/>
    <w:link w:val="Adresat"/>
    <w:uiPriority w:val="1"/>
    <w:rsid w:val="00190D59"/>
    <w:rPr>
      <w:rFonts w:eastAsia="Times New Roman" w:cstheme="minorHAnsi"/>
      <w:b/>
      <w:iCs/>
      <w:lang w:eastAsia="pl-PL"/>
    </w:rPr>
  </w:style>
  <w:style w:type="paragraph" w:customStyle="1" w:styleId="Sygnatura">
    <w:name w:val="Sygnatura"/>
    <w:basedOn w:val="Normalny"/>
    <w:link w:val="SygnaturaZnak"/>
    <w:qFormat/>
    <w:rsid w:val="00190D59"/>
    <w:pPr>
      <w:spacing w:after="0" w:line="276" w:lineRule="auto"/>
      <w:jc w:val="both"/>
    </w:pPr>
    <w:rPr>
      <w:rFonts w:eastAsia="Times New Roman" w:cstheme="minorHAnsi"/>
      <w:b/>
      <w:iCs/>
      <w:color w:val="002060"/>
      <w:sz w:val="32"/>
      <w:szCs w:val="32"/>
      <w:lang w:eastAsia="pl-PL"/>
    </w:rPr>
  </w:style>
  <w:style w:type="character" w:customStyle="1" w:styleId="SygnaturaZnak">
    <w:name w:val="Sygnatura Znak"/>
    <w:basedOn w:val="Domylnaczcionkaakapitu"/>
    <w:link w:val="Sygnatura"/>
    <w:rsid w:val="00190D59"/>
    <w:rPr>
      <w:rFonts w:eastAsia="Times New Roman" w:cstheme="minorHAnsi"/>
      <w:b/>
      <w:iCs/>
      <w:color w:val="002060"/>
      <w:sz w:val="32"/>
      <w:szCs w:val="32"/>
      <w:lang w:eastAsia="pl-PL"/>
    </w:rPr>
  </w:style>
  <w:style w:type="paragraph" w:customStyle="1" w:styleId="Zacznik">
    <w:name w:val="Załącznik"/>
    <w:basedOn w:val="Akapitzlist"/>
    <w:link w:val="ZacznikZnak"/>
    <w:uiPriority w:val="9"/>
    <w:qFormat/>
    <w:rsid w:val="00190D59"/>
    <w:pPr>
      <w:numPr>
        <w:numId w:val="19"/>
      </w:numPr>
      <w:tabs>
        <w:tab w:val="left" w:pos="5952"/>
      </w:tabs>
      <w:spacing w:after="200" w:line="276" w:lineRule="auto"/>
    </w:pPr>
    <w:rPr>
      <w:i/>
      <w:sz w:val="20"/>
      <w:szCs w:val="20"/>
    </w:rPr>
  </w:style>
  <w:style w:type="character" w:customStyle="1" w:styleId="ZacznikZnak">
    <w:name w:val="Załącznik Znak"/>
    <w:basedOn w:val="Domylnaczcionkaakapitu"/>
    <w:link w:val="Zacznik"/>
    <w:uiPriority w:val="9"/>
    <w:rsid w:val="00190D59"/>
    <w:rPr>
      <w:i/>
      <w:sz w:val="20"/>
      <w:szCs w:val="20"/>
    </w:rPr>
  </w:style>
  <w:style w:type="paragraph" w:styleId="Akapitzlist">
    <w:name w:val="List Paragraph"/>
    <w:basedOn w:val="Normalny"/>
    <w:uiPriority w:val="34"/>
    <w:rsid w:val="00190D59"/>
    <w:pPr>
      <w:ind w:left="720"/>
      <w:contextualSpacing/>
    </w:pPr>
  </w:style>
  <w:style w:type="character" w:customStyle="1" w:styleId="Nagwek1Znak">
    <w:name w:val="Nagłówek 1 Znak"/>
    <w:basedOn w:val="Domylnaczcionkaakapitu"/>
    <w:link w:val="Nagwek1"/>
    <w:uiPriority w:val="4"/>
    <w:rsid w:val="00190D59"/>
    <w:rPr>
      <w:rFonts w:ascii="Calibri" w:eastAsiaTheme="majorEastAsia" w:hAnsi="Calibri" w:cstheme="majorBidi"/>
      <w:b/>
      <w:color w:val="1F4E79" w:themeColor="accent1" w:themeShade="80"/>
      <w:kern w:val="2"/>
      <w:szCs w:val="32"/>
      <w:lang w:eastAsia="zh-CN" w:bidi="hi-IN"/>
    </w:rPr>
  </w:style>
  <w:style w:type="character" w:customStyle="1" w:styleId="Nagwek2Znak">
    <w:name w:val="Nagłówek 2 Znak"/>
    <w:basedOn w:val="Domylnaczcionkaakapitu"/>
    <w:link w:val="Nagwek2"/>
    <w:uiPriority w:val="4"/>
    <w:rsid w:val="00190D59"/>
    <w:rPr>
      <w:rFonts w:asciiTheme="majorHAnsi" w:eastAsiaTheme="majorEastAsia" w:hAnsiTheme="majorHAnsi" w:cstheme="majorBidi"/>
      <w:color w:val="2E74B5" w:themeColor="accent1" w:themeShade="BF"/>
      <w:kern w:val="2"/>
      <w:szCs w:val="26"/>
      <w:lang w:eastAsia="zh-CN" w:bidi="hi-IN"/>
    </w:rPr>
  </w:style>
  <w:style w:type="paragraph" w:styleId="Tekstprzypisudolnego">
    <w:name w:val="footnote text"/>
    <w:basedOn w:val="Normalny"/>
    <w:link w:val="TekstprzypisudolnegoZnak"/>
    <w:uiPriority w:val="99"/>
    <w:semiHidden/>
    <w:unhideWhenUsed/>
    <w:rsid w:val="00190D5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90D59"/>
    <w:rPr>
      <w:sz w:val="20"/>
      <w:szCs w:val="20"/>
    </w:rPr>
  </w:style>
  <w:style w:type="paragraph" w:styleId="Tekstkomentarza">
    <w:name w:val="annotation text"/>
    <w:basedOn w:val="Normalny"/>
    <w:link w:val="TekstkomentarzaZnak"/>
    <w:uiPriority w:val="99"/>
    <w:semiHidden/>
    <w:unhideWhenUsed/>
    <w:rsid w:val="00190D59"/>
    <w:pPr>
      <w:spacing w:after="160" w:line="240" w:lineRule="auto"/>
    </w:pPr>
    <w:rPr>
      <w:sz w:val="20"/>
      <w:szCs w:val="20"/>
    </w:rPr>
  </w:style>
  <w:style w:type="character" w:customStyle="1" w:styleId="TekstkomentarzaZnak">
    <w:name w:val="Tekst komentarza Znak"/>
    <w:basedOn w:val="Domylnaczcionkaakapitu"/>
    <w:link w:val="Tekstkomentarza"/>
    <w:uiPriority w:val="99"/>
    <w:semiHidden/>
    <w:rsid w:val="00190D59"/>
    <w:rPr>
      <w:sz w:val="20"/>
      <w:szCs w:val="20"/>
    </w:rPr>
  </w:style>
  <w:style w:type="paragraph" w:styleId="Nagwek">
    <w:name w:val="header"/>
    <w:basedOn w:val="Normalny"/>
    <w:link w:val="NagwekZnak"/>
    <w:uiPriority w:val="99"/>
    <w:unhideWhenUsed/>
    <w:rsid w:val="00190D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0D59"/>
  </w:style>
  <w:style w:type="paragraph" w:styleId="Stopka">
    <w:name w:val="footer"/>
    <w:basedOn w:val="Normalny"/>
    <w:link w:val="StopkaZnak"/>
    <w:uiPriority w:val="99"/>
    <w:unhideWhenUsed/>
    <w:rsid w:val="00190D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0D59"/>
  </w:style>
  <w:style w:type="character" w:styleId="Odwoanieprzypisudolnego">
    <w:name w:val="footnote reference"/>
    <w:basedOn w:val="Domylnaczcionkaakapitu"/>
    <w:uiPriority w:val="99"/>
    <w:semiHidden/>
    <w:unhideWhenUsed/>
    <w:rsid w:val="00190D59"/>
    <w:rPr>
      <w:vertAlign w:val="superscript"/>
    </w:rPr>
  </w:style>
  <w:style w:type="character" w:styleId="Odwoaniedokomentarza">
    <w:name w:val="annotation reference"/>
    <w:basedOn w:val="Domylnaczcionkaakapitu"/>
    <w:uiPriority w:val="99"/>
    <w:semiHidden/>
    <w:unhideWhenUsed/>
    <w:rsid w:val="00190D59"/>
    <w:rPr>
      <w:sz w:val="16"/>
      <w:szCs w:val="16"/>
    </w:rPr>
  </w:style>
  <w:style w:type="character" w:styleId="Odwoanieprzypisukocowego">
    <w:name w:val="endnote reference"/>
    <w:basedOn w:val="Domylnaczcionkaakapitu"/>
    <w:uiPriority w:val="99"/>
    <w:semiHidden/>
    <w:unhideWhenUsed/>
    <w:rsid w:val="00190D59"/>
    <w:rPr>
      <w:vertAlign w:val="superscript"/>
    </w:rPr>
  </w:style>
  <w:style w:type="paragraph" w:styleId="Tekstprzypisukocowego">
    <w:name w:val="endnote text"/>
    <w:basedOn w:val="Normalny"/>
    <w:link w:val="TekstprzypisukocowegoZnak"/>
    <w:uiPriority w:val="99"/>
    <w:semiHidden/>
    <w:unhideWhenUsed/>
    <w:rsid w:val="00190D5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90D59"/>
    <w:rPr>
      <w:sz w:val="20"/>
      <w:szCs w:val="20"/>
    </w:rPr>
  </w:style>
  <w:style w:type="character" w:styleId="Hipercze">
    <w:name w:val="Hyperlink"/>
    <w:basedOn w:val="Domylnaczcionkaakapitu"/>
    <w:uiPriority w:val="99"/>
    <w:unhideWhenUsed/>
    <w:rsid w:val="00190D59"/>
    <w:rPr>
      <w:color w:val="0563C1" w:themeColor="hyperlink"/>
      <w:u w:val="single"/>
    </w:rPr>
  </w:style>
  <w:style w:type="character" w:styleId="Pogrubienie">
    <w:name w:val="Strong"/>
    <w:basedOn w:val="Domylnaczcionkaakapitu"/>
    <w:uiPriority w:val="22"/>
    <w:rsid w:val="00190D59"/>
    <w:rPr>
      <w:b/>
      <w:bCs/>
    </w:rPr>
  </w:style>
  <w:style w:type="paragraph" w:styleId="Tematkomentarza">
    <w:name w:val="annotation subject"/>
    <w:basedOn w:val="Tekstkomentarza"/>
    <w:next w:val="Tekstkomentarza"/>
    <w:link w:val="TematkomentarzaZnak"/>
    <w:uiPriority w:val="99"/>
    <w:semiHidden/>
    <w:unhideWhenUsed/>
    <w:rsid w:val="00190D59"/>
    <w:rPr>
      <w:b/>
      <w:bCs/>
    </w:rPr>
  </w:style>
  <w:style w:type="character" w:customStyle="1" w:styleId="TematkomentarzaZnak">
    <w:name w:val="Temat komentarza Znak"/>
    <w:basedOn w:val="TekstkomentarzaZnak"/>
    <w:link w:val="Tematkomentarza"/>
    <w:uiPriority w:val="99"/>
    <w:semiHidden/>
    <w:rsid w:val="00190D59"/>
    <w:rPr>
      <w:b/>
      <w:bCs/>
      <w:sz w:val="20"/>
      <w:szCs w:val="20"/>
    </w:rPr>
  </w:style>
  <w:style w:type="paragraph" w:styleId="Tekstdymka">
    <w:name w:val="Balloon Text"/>
    <w:basedOn w:val="Normalny"/>
    <w:link w:val="TekstdymkaZnak"/>
    <w:uiPriority w:val="99"/>
    <w:semiHidden/>
    <w:unhideWhenUsed/>
    <w:rsid w:val="00190D5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0D59"/>
    <w:rPr>
      <w:rFonts w:ascii="Segoe UI" w:hAnsi="Segoe UI" w:cs="Segoe UI"/>
      <w:sz w:val="18"/>
      <w:szCs w:val="18"/>
    </w:rPr>
  </w:style>
  <w:style w:type="table" w:styleId="Tabela-Siatka">
    <w:name w:val="Table Grid"/>
    <w:basedOn w:val="Standardowy"/>
    <w:uiPriority w:val="39"/>
    <w:rsid w:val="00190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uiPriority w:val="6"/>
    <w:qFormat/>
    <w:rsid w:val="00190D59"/>
    <w:pPr>
      <w:spacing w:before="240" w:after="240"/>
      <w:ind w:left="454" w:right="454"/>
      <w:jc w:val="both"/>
    </w:pPr>
    <w:rPr>
      <w:i/>
      <w:iCs/>
      <w:color w:val="404040" w:themeColor="text1" w:themeTint="BF"/>
    </w:rPr>
  </w:style>
  <w:style w:type="character" w:customStyle="1" w:styleId="CytatZnak">
    <w:name w:val="Cytat Znak"/>
    <w:basedOn w:val="Domylnaczcionkaakapitu"/>
    <w:link w:val="Cytat"/>
    <w:uiPriority w:val="6"/>
    <w:rsid w:val="00190D59"/>
    <w:rPr>
      <w:i/>
      <w:iCs/>
      <w:color w:val="404040" w:themeColor="text1" w:themeTint="BF"/>
    </w:rPr>
  </w:style>
  <w:style w:type="paragraph" w:styleId="Spistreci2">
    <w:name w:val="toc 2"/>
    <w:basedOn w:val="Normalny"/>
    <w:next w:val="Normalny"/>
    <w:autoRedefine/>
    <w:uiPriority w:val="39"/>
    <w:unhideWhenUsed/>
    <w:rsid w:val="00190D59"/>
    <w:pPr>
      <w:spacing w:after="100"/>
      <w:ind w:left="220"/>
    </w:pPr>
  </w:style>
  <w:style w:type="paragraph" w:styleId="Podtytu">
    <w:name w:val="Subtitle"/>
    <w:basedOn w:val="Normalny"/>
    <w:next w:val="Normalny"/>
    <w:link w:val="PodtytuZnak"/>
    <w:uiPriority w:val="11"/>
    <w:rsid w:val="00190D59"/>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190D59"/>
    <w:rPr>
      <w:rFonts w:eastAsiaTheme="minorEastAsia"/>
      <w:color w:val="5A5A5A" w:themeColor="text1" w:themeTint="A5"/>
      <w:spacing w:val="15"/>
    </w:rPr>
  </w:style>
  <w:style w:type="paragraph" w:styleId="Nagwekspisutreci">
    <w:name w:val="TOC Heading"/>
    <w:aliases w:val="Nagłówek 3.3"/>
    <w:basedOn w:val="Nagwek2"/>
    <w:next w:val="Normalny"/>
    <w:autoRedefine/>
    <w:uiPriority w:val="39"/>
    <w:unhideWhenUsed/>
    <w:qFormat/>
    <w:rsid w:val="005E7124"/>
    <w:pPr>
      <w:widowControl/>
      <w:numPr>
        <w:numId w:val="22"/>
      </w:numPr>
      <w:suppressAutoHyphens w:val="0"/>
      <w:spacing w:line="259" w:lineRule="auto"/>
      <w:jc w:val="left"/>
      <w:textAlignment w:val="auto"/>
      <w:outlineLvl w:val="9"/>
    </w:pPr>
    <w:rPr>
      <w:b/>
      <w:color w:val="auto"/>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6153</Words>
  <Characters>36918</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Bartłomiej Lisowski</dc:creator>
  <cp:keywords/>
  <dc:description/>
  <cp:lastModifiedBy>Bartłomiej Lisowski</cp:lastModifiedBy>
  <cp:revision>2</cp:revision>
  <dcterms:created xsi:type="dcterms:W3CDTF">2022-10-20T09:25:00Z</dcterms:created>
  <dcterms:modified xsi:type="dcterms:W3CDTF">2022-10-20T09:25:00Z</dcterms:modified>
</cp:coreProperties>
</file>